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left"/>
        <w:textAlignment w:val="baseline"/>
        <w:outlineLvl w:val="0"/>
        <w:rPr>
          <w:rFonts w:hint="eastAsia" w:ascii="仿宋" w:hAnsi="仿宋" w:eastAsia="仿宋" w:cs="仿宋"/>
          <w:b w:val="0"/>
          <w:bCs w:val="0"/>
          <w:spacing w:val="-2"/>
          <w:sz w:val="32"/>
          <w:szCs w:val="32"/>
          <w:lang w:val="en-US" w:eastAsia="zh-CN"/>
          <w14:textOutline w14:w="5094" w14:cap="flat" w14:cmpd="sng">
            <w14:solidFill>
              <w14:srgbClr w14:val="000000"/>
            </w14:solidFill>
            <w14:prstDash w14:val="solid"/>
            <w14:miter w14:val="0"/>
          </w14:textOutline>
        </w:rPr>
      </w:pPr>
      <w:bookmarkStart w:id="0" w:name="_GoBack"/>
      <w:bookmarkEnd w:id="0"/>
      <w:r>
        <w:rPr>
          <w:rFonts w:hint="eastAsia" w:ascii="仿宋" w:hAnsi="仿宋" w:eastAsia="仿宋" w:cs="仿宋"/>
          <w:b w:val="0"/>
          <w:bCs w:val="0"/>
          <w:spacing w:val="-2"/>
          <w:sz w:val="32"/>
          <w:szCs w:val="32"/>
          <w:lang w:val="en-US" w:eastAsia="zh-CN"/>
          <w14:textOutline w14:w="5094" w14:cap="flat" w14:cmpd="sng">
            <w14:solidFill>
              <w14:srgbClr w14:val="000000"/>
            </w14:solidFill>
            <w14:prstDash w14:val="solid"/>
            <w14:miter w14:val="0"/>
          </w14:textOutline>
        </w:rPr>
        <w:t>附件：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default" w:eastAsia="宋体"/>
          <w:b/>
          <w:bCs/>
          <w:spacing w:val="-2"/>
          <w:sz w:val="36"/>
          <w:szCs w:val="36"/>
          <w:lang w:val="en-US" w:eastAsia="zh-CN"/>
          <w14:textOutline w14:w="5094" w14:cap="flat" w14:cmpd="sng">
            <w14:solidFill>
              <w14:srgbClr w14:val="000000"/>
            </w14:solidFill>
            <w14:prstDash w14:val="solid"/>
            <w14:miter w14:val="0"/>
          </w14:textOutline>
        </w:rPr>
      </w:pPr>
      <w:r>
        <w:rPr>
          <w:rFonts w:hint="eastAsia"/>
          <w:b/>
          <w:bCs/>
          <w:spacing w:val="-2"/>
          <w:sz w:val="36"/>
          <w:szCs w:val="36"/>
          <w:lang w:val="en-US" w:eastAsia="zh-CN"/>
          <w14:textOutline w14:w="5094" w14:cap="flat" w14:cmpd="sng">
            <w14:solidFill>
              <w14:srgbClr w14:val="000000"/>
            </w14:solidFill>
            <w14:prstDash w14:val="solid"/>
            <w14:miter w14:val="0"/>
          </w14:textOutline>
        </w:rPr>
        <w:t>第三方劳务派遣服务</w:t>
      </w:r>
      <w:r>
        <w:rPr>
          <w:b/>
          <w:bCs/>
          <w:spacing w:val="-2"/>
          <w:sz w:val="36"/>
          <w:szCs w:val="36"/>
          <w14:textOutline w14:w="5094" w14:cap="flat" w14:cmpd="sng">
            <w14:solidFill>
              <w14:srgbClr w14:val="000000"/>
            </w14:solidFill>
            <w14:prstDash w14:val="solid"/>
            <w14:miter w14:val="0"/>
          </w14:textOutline>
        </w:rPr>
        <w:t>技术要求</w:t>
      </w:r>
      <w:r>
        <w:rPr>
          <w:rFonts w:hint="eastAsia"/>
          <w:b/>
          <w:bCs/>
          <w:spacing w:val="-2"/>
          <w:sz w:val="36"/>
          <w:szCs w:val="36"/>
          <w:lang w:val="en-US" w:eastAsia="zh-CN"/>
          <w14:textOutline w14:w="5094" w14:cap="flat" w14:cmpd="sng">
            <w14:solidFill>
              <w14:srgbClr w14:val="000000"/>
            </w14:solidFill>
            <w14:prstDash w14:val="solid"/>
            <w14:miter w14:val="0"/>
          </w14:textOutline>
        </w:rPr>
        <w:t>及商务条款</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b/>
          <w:bCs/>
          <w:spacing w:val="-2"/>
          <w:sz w:val="36"/>
          <w:szCs w:val="36"/>
          <w14:textOutline w14:w="5094" w14:cap="flat" w14:cmpd="sng">
            <w14:solidFill>
              <w14:srgbClr w14:val="000000"/>
            </w14:solidFill>
            <w14:prstDash w14:val="solid"/>
            <w14:miter w14:val="0"/>
          </w14:textOutline>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黑体" w:hAnsi="黑体" w:eastAsia="黑体" w:cs="黑体"/>
          <w:b w:val="0"/>
          <w:bCs w:val="0"/>
          <w:sz w:val="28"/>
          <w:szCs w:val="28"/>
        </w:rPr>
      </w:pPr>
      <w:r>
        <w:rPr>
          <w:rFonts w:hint="eastAsia" w:ascii="黑体" w:hAnsi="黑体" w:eastAsia="黑体" w:cs="黑体"/>
          <w:b w:val="0"/>
          <w:bCs w:val="0"/>
          <w:spacing w:val="-2"/>
          <w:sz w:val="28"/>
          <w:szCs w:val="28"/>
          <w:lang w:eastAsia="zh-CN"/>
          <w14:textOutline w14:w="4354" w14:cap="flat" w14:cmpd="sng">
            <w14:solidFill>
              <w14:srgbClr w14:val="000000"/>
            </w14:solidFill>
            <w14:prstDash w14:val="solid"/>
            <w14:miter w14:val="0"/>
          </w14:textOutline>
        </w:rPr>
        <w:t>一、</w:t>
      </w:r>
      <w:r>
        <w:rPr>
          <w:rFonts w:hint="eastAsia" w:ascii="黑体" w:hAnsi="黑体" w:eastAsia="黑体" w:cs="黑体"/>
          <w:b w:val="0"/>
          <w:bCs w:val="0"/>
          <w:spacing w:val="-2"/>
          <w:sz w:val="28"/>
          <w:szCs w:val="28"/>
          <w14:textOutline w14:w="4354" w14:cap="flat" w14:cmpd="sng">
            <w14:solidFill>
              <w14:srgbClr w14:val="000000"/>
            </w14:solidFill>
            <w14:prstDash w14:val="solid"/>
            <w14:miter w14:val="0"/>
          </w14:textOutline>
        </w:rPr>
        <w:t>项目概述</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根据《政府采购法》《关于印发上饶市第三人民医院采购内控管理制度的通知》《上饶市第三人民医院政府采购电子卖场管理暂行办法》</w:t>
      </w:r>
      <w:r>
        <w:rPr>
          <w:rFonts w:hint="eastAsia" w:ascii="仿宋" w:hAnsi="仿宋" w:eastAsia="仿宋" w:cs="仿宋"/>
          <w:spacing w:val="-2"/>
          <w:sz w:val="28"/>
          <w:szCs w:val="28"/>
        </w:rPr>
        <w:t>等文件精神，</w:t>
      </w:r>
      <w:r>
        <w:rPr>
          <w:rFonts w:hint="eastAsia" w:ascii="仿宋" w:hAnsi="仿宋" w:eastAsia="仿宋" w:cs="仿宋"/>
          <w:spacing w:val="-2"/>
          <w:sz w:val="28"/>
          <w:szCs w:val="28"/>
          <w:lang w:val="en-US" w:eastAsia="zh-CN"/>
        </w:rPr>
        <w:t>上饶市第三人民医院</w:t>
      </w:r>
      <w:r>
        <w:rPr>
          <w:rFonts w:hint="eastAsia" w:ascii="仿宋" w:hAnsi="仿宋" w:eastAsia="仿宋" w:cs="仿宋"/>
          <w:spacing w:val="-2"/>
          <w:sz w:val="28"/>
          <w:szCs w:val="28"/>
        </w:rPr>
        <w:t>为了保障</w:t>
      </w:r>
      <w:r>
        <w:rPr>
          <w:rFonts w:hint="eastAsia" w:ascii="仿宋" w:hAnsi="仿宋" w:eastAsia="仿宋" w:cs="仿宋"/>
          <w:spacing w:val="-2"/>
          <w:sz w:val="28"/>
          <w:szCs w:val="28"/>
          <w:lang w:val="en-US" w:eastAsia="zh-CN"/>
        </w:rPr>
        <w:t>各项</w:t>
      </w:r>
      <w:r>
        <w:rPr>
          <w:rFonts w:hint="eastAsia" w:ascii="仿宋" w:hAnsi="仿宋" w:eastAsia="仿宋" w:cs="仿宋"/>
          <w:spacing w:val="-2"/>
          <w:sz w:val="28"/>
          <w:szCs w:val="28"/>
        </w:rPr>
        <w:t>业务</w:t>
      </w:r>
      <w:r>
        <w:rPr>
          <w:rFonts w:hint="eastAsia" w:ascii="仿宋" w:hAnsi="仿宋" w:eastAsia="仿宋" w:cs="仿宋"/>
          <w:spacing w:val="-2"/>
          <w:sz w:val="28"/>
          <w:szCs w:val="28"/>
          <w:lang w:val="en-US" w:eastAsia="zh-CN"/>
        </w:rPr>
        <w:t>工作</w:t>
      </w:r>
      <w:r>
        <w:rPr>
          <w:rFonts w:hint="eastAsia" w:ascii="仿宋" w:hAnsi="仿宋" w:eastAsia="仿宋" w:cs="仿宋"/>
          <w:spacing w:val="-2"/>
          <w:sz w:val="28"/>
          <w:szCs w:val="28"/>
        </w:rPr>
        <w:t>顺畅开展，提高工作质量拟对</w:t>
      </w:r>
      <w:r>
        <w:rPr>
          <w:rFonts w:hint="eastAsia" w:ascii="仿宋" w:hAnsi="仿宋" w:eastAsia="仿宋" w:cs="仿宋"/>
          <w:spacing w:val="-2"/>
          <w:sz w:val="28"/>
          <w:szCs w:val="28"/>
          <w:lang w:val="en-US" w:eastAsia="zh-CN"/>
        </w:rPr>
        <w:t>部分业务工作</w:t>
      </w:r>
      <w:r>
        <w:rPr>
          <w:rFonts w:hint="eastAsia" w:ascii="仿宋" w:hAnsi="仿宋" w:eastAsia="仿宋" w:cs="仿宋"/>
          <w:spacing w:val="-2"/>
          <w:sz w:val="28"/>
          <w:szCs w:val="28"/>
        </w:rPr>
        <w:t>进行</w:t>
      </w:r>
      <w:r>
        <w:rPr>
          <w:rFonts w:hint="eastAsia" w:ascii="仿宋" w:hAnsi="仿宋" w:eastAsia="仿宋" w:cs="仿宋"/>
          <w:spacing w:val="-2"/>
          <w:sz w:val="28"/>
          <w:szCs w:val="28"/>
          <w:lang w:val="en-US" w:eastAsia="zh-CN"/>
        </w:rPr>
        <w:t>委托第三方劳务派遣招聘工作人员</w:t>
      </w:r>
      <w:r>
        <w:rPr>
          <w:rFonts w:hint="eastAsia" w:ascii="仿宋" w:hAnsi="仿宋" w:eastAsia="仿宋" w:cs="仿宋"/>
          <w:spacing w:val="-2"/>
          <w:sz w:val="28"/>
          <w:szCs w:val="28"/>
        </w:rPr>
        <w:t>。</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黑体" w:hAnsi="黑体" w:eastAsia="黑体" w:cs="黑体"/>
          <w:b w:val="0"/>
          <w:bCs w:val="0"/>
          <w:spacing w:val="-2"/>
          <w:sz w:val="28"/>
          <w:szCs w:val="28"/>
          <w:lang w:val="en-US" w:eastAsia="zh-CN"/>
          <w14:textOutline w14:w="4354" w14:cap="flat" w14:cmpd="sng">
            <w14:solidFill>
              <w14:srgbClr w14:val="000000"/>
            </w14:solidFill>
            <w14:prstDash w14:val="solid"/>
            <w14:miter w14:val="0"/>
          </w14:textOutline>
        </w:rPr>
      </w:pPr>
      <w:r>
        <w:rPr>
          <w:rFonts w:hint="eastAsia" w:ascii="黑体" w:hAnsi="黑体" w:eastAsia="黑体" w:cs="黑体"/>
          <w:b w:val="0"/>
          <w:bCs w:val="0"/>
          <w:spacing w:val="-2"/>
          <w:sz w:val="28"/>
          <w:szCs w:val="28"/>
          <w:lang w:val="en-US" w:eastAsia="zh-CN"/>
          <w14:textOutline w14:w="4354" w14:cap="flat" w14:cmpd="sng">
            <w14:solidFill>
              <w14:srgbClr w14:val="000000"/>
            </w14:solidFill>
            <w14:prstDash w14:val="solid"/>
            <w14:miter w14:val="0"/>
          </w14:textOutline>
        </w:rPr>
        <w:t>技术要求</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rPr>
          <w:rFonts w:hint="eastAsia" w:ascii="仿宋" w:hAnsi="仿宋" w:eastAsia="仿宋" w:cs="仿宋"/>
          <w:b/>
          <w:bCs/>
          <w:spacing w:val="-2"/>
          <w:sz w:val="28"/>
          <w:szCs w:val="28"/>
          <w:lang w:val="en-US" w:eastAsia="zh-CN"/>
        </w:rPr>
      </w:pPr>
      <w:r>
        <w:rPr>
          <w:rFonts w:hint="eastAsia" w:ascii="楷体" w:hAnsi="楷体" w:eastAsia="楷体" w:cs="楷体"/>
          <w:b/>
          <w:bCs/>
          <w:spacing w:val="-2"/>
          <w:sz w:val="28"/>
          <w:szCs w:val="28"/>
          <w:lang w:val="en-US" w:eastAsia="zh-CN"/>
        </w:rPr>
        <w:t>（一）服务要求</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2"/>
          <w:sz w:val="28"/>
          <w:szCs w:val="28"/>
          <w:lang w:val="en-US" w:eastAsia="zh-CN"/>
        </w:rPr>
        <w:t>1.需根据采购单位需求提</w:t>
      </w:r>
      <w:r>
        <w:rPr>
          <w:rFonts w:hint="eastAsia" w:ascii="仿宋" w:hAnsi="仿宋" w:eastAsia="仿宋" w:cs="仿宋"/>
          <w:spacing w:val="-4"/>
          <w:sz w:val="28"/>
          <w:szCs w:val="28"/>
          <w:lang w:val="en-US" w:eastAsia="zh-CN"/>
        </w:rPr>
        <w:t>供劳务服务人员并签订合同；负责采购单位现有劳务服务人员劳动关系及社会保险的转移接续；</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2.需按照采购单位的要求，及时补充劳务服务人员、更换不能胜任工作的劳务服务人员。中标单位拟服务人员需经采购单位认可；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3.新进员工入职时，投标单位有义务及时向采购单位提供服务人员有关资料，包括入职信息表、入职体检表、劳动合同、社保证明、学历证明、工作经验证明等材料。告知服务人员采购单位的重要人事制度，在合同中列明；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highlight w:val="none"/>
          <w:lang w:val="en-US" w:eastAsia="zh-CN"/>
        </w:rPr>
      </w:pPr>
      <w:r>
        <w:rPr>
          <w:rFonts w:hint="eastAsia" w:ascii="仿宋" w:hAnsi="仿宋" w:eastAsia="仿宋" w:cs="仿宋"/>
          <w:spacing w:val="-4"/>
          <w:sz w:val="28"/>
          <w:szCs w:val="28"/>
          <w:highlight w:val="none"/>
          <w:lang w:val="en-US" w:eastAsia="zh-CN"/>
        </w:rPr>
        <w:t>4.招聘工作。根据采购单位的用工需求，承接中标单位的劳务服务岗位的招聘工作。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5.中标单位应协助采购单位对违规违法员工进行处理，提供相关处理建议，维护采购单位正常的业务开展；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lang w:val="en-US" w:eastAsia="zh-CN"/>
        </w:rPr>
        <w:t xml:space="preserve">6.中标单位管理人员应定期（每半年不少于1次）与采购单位就服务员工的品德、技能、考勤、业绩等的相关信息进行沟通交流并交换意见；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7.劳务服务管理费按当月实际在岗人员进行结算。劳务服务人员工资福利费用以实际发生情况结算。每月劳务劳务服务管理费，按当月实际在岗人员情况和实际发生费用计算；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8.投标单位需根据采购单位相关管理制度及考核结果，按照合同约定时间和经采购人核准的发放标准，向劳务服务人员按时发放工资和其他福利。非经采购单位书面通知，不得扣发劳务服务人员工资和其他福利，不得缩减或变更劳务服务人员社会保险交付金额和险种；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spacing w:val="-4"/>
          <w:sz w:val="28"/>
          <w:szCs w:val="28"/>
          <w:lang w:val="en-US" w:eastAsia="zh-CN"/>
        </w:rPr>
        <w:t xml:space="preserve">9.投标单位提供的劳务服务人员应具备工作岗位要求，同时满足身体健康，遵纪守法，诚实守信的条件；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default" w:ascii="仿宋" w:hAnsi="仿宋" w:eastAsia="仿宋" w:cs="仿宋"/>
          <w:color w:val="auto"/>
          <w:spacing w:val="-4"/>
          <w:sz w:val="28"/>
          <w:szCs w:val="28"/>
          <w:lang w:val="en-US"/>
        </w:rPr>
      </w:pPr>
      <w:r>
        <w:rPr>
          <w:rFonts w:hint="eastAsia" w:ascii="仿宋" w:hAnsi="仿宋" w:eastAsia="仿宋" w:cs="仿宋"/>
          <w:color w:val="auto"/>
          <w:spacing w:val="-4"/>
          <w:sz w:val="28"/>
          <w:szCs w:val="28"/>
          <w:lang w:val="en-US" w:eastAsia="zh-CN"/>
        </w:rPr>
        <w:t>10.不能将业务分包或转包给其他公司；如转包分包可解除合同，并赔偿相关损失。</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lang w:val="en-US" w:eastAsia="zh-CN"/>
        </w:rPr>
        <w:t xml:space="preserve">11.如需变更本项目负责人，须经采购单位书面同意；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color w:val="auto"/>
          <w:spacing w:val="-4"/>
          <w:sz w:val="28"/>
          <w:szCs w:val="28"/>
          <w:lang w:val="en-US" w:eastAsia="zh-CN"/>
        </w:rPr>
        <w:t>12.采购单位根据业务需要和岗位设置情况，以书面形式通知中标单位</w:t>
      </w:r>
      <w:r>
        <w:rPr>
          <w:rFonts w:hint="eastAsia" w:ascii="仿宋" w:hAnsi="仿宋" w:eastAsia="仿宋" w:cs="仿宋"/>
          <w:spacing w:val="-4"/>
          <w:sz w:val="28"/>
          <w:szCs w:val="28"/>
          <w:lang w:val="en-US" w:eastAsia="zh-CN"/>
        </w:rPr>
        <w:t xml:space="preserve">用工需求；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lang w:val="en-US" w:eastAsia="zh-CN"/>
        </w:rPr>
        <w:t>13.中标单位收到采购单位用工需求通知后，应立即组织安排相关</w:t>
      </w:r>
      <w:r>
        <w:rPr>
          <w:rFonts w:hint="eastAsia" w:ascii="仿宋" w:hAnsi="仿宋" w:eastAsia="仿宋" w:cs="仿宋"/>
          <w:spacing w:val="-4"/>
          <w:sz w:val="28"/>
          <w:szCs w:val="28"/>
          <w:highlight w:val="none"/>
          <w:lang w:val="en-US" w:eastAsia="zh-CN"/>
        </w:rPr>
        <w:t xml:space="preserve">服务员工的事宜。中标单位在10个工作日内向采购单位提供基本符合要求的人员资料；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14.中标单位负责办理相关入职手续，签订劳动合同等。劳动合同、体检结果、个人证件材料报采购单位备份；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15.采购单位有权要求调换不适合岗位要求的服务人员。中标单位调换劳务服务人员须得到采购单位的同意；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16.全体劳务服务人员工作时间由采购单位根据国家有关规定及实际工作需要具体安排；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color w:val="auto"/>
          <w:spacing w:val="-4"/>
          <w:sz w:val="28"/>
          <w:szCs w:val="28"/>
          <w:highlight w:val="none"/>
        </w:rPr>
      </w:pPr>
      <w:r>
        <w:rPr>
          <w:rFonts w:hint="eastAsia" w:ascii="仿宋" w:hAnsi="仿宋" w:eastAsia="仿宋" w:cs="仿宋"/>
          <w:spacing w:val="-4"/>
          <w:sz w:val="28"/>
          <w:szCs w:val="28"/>
          <w:lang w:val="en-US" w:eastAsia="zh-CN"/>
        </w:rPr>
        <w:t>17.因劳务服务人员工作失职、故意行为、违法犯罪</w:t>
      </w:r>
      <w:r>
        <w:rPr>
          <w:rFonts w:hint="eastAsia" w:ascii="仿宋" w:hAnsi="仿宋" w:eastAsia="仿宋" w:cs="仿宋"/>
          <w:spacing w:val="-4"/>
          <w:sz w:val="28"/>
          <w:szCs w:val="28"/>
          <w:highlight w:val="none"/>
          <w:lang w:val="en-US" w:eastAsia="zh-CN"/>
        </w:rPr>
        <w:t>行为造成采购单位经济损失的，中标单位除协助采购单位对员工进行处理外，</w:t>
      </w:r>
      <w:r>
        <w:rPr>
          <w:rFonts w:hint="eastAsia" w:ascii="仿宋" w:hAnsi="仿宋" w:eastAsia="仿宋" w:cs="仿宋"/>
          <w:color w:val="auto"/>
          <w:spacing w:val="-4"/>
          <w:sz w:val="28"/>
          <w:szCs w:val="28"/>
          <w:highlight w:val="none"/>
          <w:lang w:val="en-US" w:eastAsia="zh-CN"/>
        </w:rPr>
        <w:t xml:space="preserve">还应承担相应的管理责任；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lang w:val="en-US" w:eastAsia="zh-CN"/>
        </w:rPr>
        <w:t xml:space="preserve">18.采购单位与中标单位双方在合同中协商约定劳务服务奖惩机制。因中标单位或中标单位人员工作失职、违法行为等，造成采购单位经济损失的，中标单位应承担全部责任。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lang w:val="en-US" w:eastAsia="zh-CN"/>
        </w:rPr>
        <w:t>19.因中标单位自身原因所引发的一切纠纷，由中标单位负完全责任，劳务服务人员在非工作时间内发生的人身意外或其他纠纷，由中标单位负责处理，负全部责任；</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default" w:ascii="仿宋" w:hAnsi="仿宋" w:eastAsia="仿宋" w:cs="仿宋"/>
          <w:spacing w:val="-4"/>
          <w:sz w:val="28"/>
          <w:szCs w:val="28"/>
          <w:lang w:val="en-US"/>
        </w:rPr>
      </w:pPr>
      <w:r>
        <w:rPr>
          <w:rFonts w:hint="eastAsia" w:ascii="仿宋" w:hAnsi="仿宋" w:eastAsia="仿宋" w:cs="仿宋"/>
          <w:spacing w:val="-4"/>
          <w:sz w:val="28"/>
          <w:szCs w:val="28"/>
          <w:lang w:val="en-US" w:eastAsia="zh-CN"/>
        </w:rPr>
        <w:t>20.中标单位及时足额为劳务人员办理社会保险，若应中标单位原因未按规定及时足额为劳务人员办理社会保险产生的一切后果，由中标单位全部承担；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spacing w:val="-4"/>
          <w:sz w:val="28"/>
          <w:szCs w:val="28"/>
          <w:lang w:val="en-US" w:eastAsia="zh-CN"/>
        </w:rPr>
        <w:t>21.中标单位挪用劳务服务人员工资、社会保险费用和其他福利费用的，除承担由此引发的一切法律责任外，采购单</w:t>
      </w:r>
      <w:r>
        <w:rPr>
          <w:rFonts w:hint="eastAsia" w:ascii="仿宋" w:hAnsi="仿宋" w:eastAsia="仿宋" w:cs="仿宋"/>
          <w:color w:val="auto"/>
          <w:spacing w:val="-4"/>
          <w:sz w:val="28"/>
          <w:szCs w:val="28"/>
          <w:lang w:val="en-US" w:eastAsia="zh-CN"/>
        </w:rPr>
        <w:t xml:space="preserve">位有权随时解除服务合同，并不承担任何责任；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22.中标单位应教育员工遵守国家法律法规以及采购单位的规章制度、管理规范和劳动纪律，服从和执行采购单位的工作安排和调度，接受采购单位管理人员的检查监督；中标单位应教育员工不得以任何形式提供或泄露采购单位的涉密信息；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23.采购单位负责员工的岗位安排、工作调度、监督及考核，协助中标单位进行考勤管理、绩效考核及工作期间的日常管理事项；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24.员工不服从采购单位日常工作管理以及违反采购单位的劳动纪律的，采购单位有权依据有关管理规定通知中标单位进行相应的处罚；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25.员工从采购单位领取的工作设施、配件及其他物品，由采购单位负责登记管理，员工离职时一并交还采购单位；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26.合同期内员工有下列情况之一的，采购单位可随时退回员工或要求中标单位更换员工，相关事实材料由中标单位提供：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26.1试用期内被证明不符合录用条件的；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26.2严重违反采购单位的规章制度、业务流程或劳动纪律的；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26.3严重失职，营私舞弊，给采购单位利益造成重大损害的；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26.4有违法犯罪行为被追究刑事责任的；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26.5 员工同时与其他用人单位建立劳动关系，对完成采购单位的工作任务造成严重影响，或者经采购单位提出，拒不改正的；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27.有下列情形之一，采购单位提前三十日通知中标单位和员工本人后，可以退回员工：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27.1员工本人患病或非因公负伤，医疗期满后，不能从事原工作，也不能从事由采购单位另行安排的工作的；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27.2员工不能胜任工作，经过培训或调整岗位，仍不能胜任工作的；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27.3本合同订立时所依据的客观情况发生重大变化，致使原合同无法履行的。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28.因业务的特殊性，为保障服务的顺利延续，成交供应商在服务履约完成后，关键岗位的工作人员须指导并培训后续外包服务商的工作人员，直至熟练掌握业务。</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黑体" w:hAnsi="黑体" w:eastAsia="黑体" w:cs="黑体"/>
          <w:b w:val="0"/>
          <w:bCs w:val="0"/>
          <w:spacing w:val="-2"/>
          <w:sz w:val="28"/>
          <w:szCs w:val="28"/>
          <w:lang w:val="en-US" w:eastAsia="zh-CN"/>
          <w14:textOutline w14:w="4354" w14:cap="flat" w14:cmpd="sng">
            <w14:solidFill>
              <w14:srgbClr w14:val="000000"/>
            </w14:solidFill>
            <w14:prstDash w14:val="solid"/>
            <w14:miter w14:val="0"/>
          </w14:textOutline>
        </w:rPr>
      </w:pPr>
      <w:r>
        <w:rPr>
          <w:rFonts w:hint="eastAsia" w:ascii="黑体" w:hAnsi="黑体" w:eastAsia="黑体" w:cs="黑体"/>
          <w:b w:val="0"/>
          <w:bCs w:val="0"/>
          <w:spacing w:val="-2"/>
          <w:sz w:val="28"/>
          <w:szCs w:val="28"/>
          <w:lang w:val="en-US" w:eastAsia="zh-CN"/>
          <w14:textOutline w14:w="4354" w14:cap="flat" w14:cmpd="sng">
            <w14:solidFill>
              <w14:srgbClr w14:val="000000"/>
            </w14:solidFill>
            <w14:prstDash w14:val="solid"/>
            <w14:miter w14:val="0"/>
          </w14:textOutline>
        </w:rPr>
        <w:t>三、商务条款</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562" w:firstLineChars="200"/>
        <w:jc w:val="left"/>
        <w:textAlignment w:val="baseline"/>
        <w:rPr>
          <w:rFonts w:hint="eastAsia" w:ascii="楷体" w:hAnsi="楷体" w:eastAsia="楷体" w:cs="楷体"/>
          <w:b/>
          <w:bCs/>
          <w:sz w:val="28"/>
          <w:szCs w:val="28"/>
        </w:rPr>
      </w:pPr>
      <w:r>
        <w:rPr>
          <w:rFonts w:hint="eastAsia" w:ascii="楷体" w:hAnsi="楷体" w:eastAsia="楷体" w:cs="楷体"/>
          <w:b/>
          <w:bCs/>
          <w:snapToGrid w:val="0"/>
          <w:color w:val="000000"/>
          <w:kern w:val="0"/>
          <w:sz w:val="28"/>
          <w:szCs w:val="28"/>
          <w:lang w:val="en-US" w:eastAsia="zh-CN" w:bidi="ar"/>
        </w:rPr>
        <w:t xml:space="preserve">（一）服务期限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eastAsia" w:ascii="仿宋" w:hAnsi="仿宋" w:eastAsia="仿宋" w:cs="仿宋"/>
          <w:sz w:val="28"/>
          <w:szCs w:val="28"/>
        </w:rPr>
      </w:pPr>
      <w:r>
        <w:rPr>
          <w:rFonts w:hint="eastAsia" w:ascii="仿宋" w:hAnsi="仿宋" w:eastAsia="仿宋" w:cs="仿宋"/>
          <w:snapToGrid w:val="0"/>
          <w:color w:val="000000"/>
          <w:kern w:val="0"/>
          <w:sz w:val="28"/>
          <w:szCs w:val="28"/>
          <w:lang w:val="en-US" w:eastAsia="zh-CN" w:bidi="ar"/>
        </w:rPr>
        <w:t xml:space="preserve">服务合同期为12个月，计划2023年11月1日—2024年10月31日，具体以签订合同为准。从签订合同之日起开始计算。若合同期内投标人综合考核不能满足采购人的需求，采购人有权终止合同；中标后中标供应商应及时与采购人签订合同，签订合同后 10 天内确保本项目所需的工作人员到位并正常开展工作。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562" w:firstLineChars="200"/>
        <w:jc w:val="left"/>
        <w:textAlignment w:val="baseline"/>
        <w:rPr>
          <w:rFonts w:hint="eastAsia" w:ascii="楷体" w:hAnsi="楷体" w:eastAsia="楷体" w:cs="楷体"/>
          <w:b/>
          <w:bCs/>
          <w:sz w:val="28"/>
          <w:szCs w:val="28"/>
        </w:rPr>
      </w:pPr>
      <w:r>
        <w:rPr>
          <w:rFonts w:hint="eastAsia" w:ascii="楷体" w:hAnsi="楷体" w:eastAsia="楷体" w:cs="楷体"/>
          <w:b/>
          <w:bCs/>
          <w:snapToGrid w:val="0"/>
          <w:color w:val="000000"/>
          <w:kern w:val="0"/>
          <w:sz w:val="28"/>
          <w:szCs w:val="28"/>
          <w:lang w:val="en-US" w:eastAsia="zh-CN" w:bidi="ar"/>
        </w:rPr>
        <w:t xml:space="preserve">（二）付款方式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服务费用每月结算一次，据实结算。中标人提供发票及相关资料齐全后，于次月中旬前支付，如遇节假日则顺延。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楷体" w:hAnsi="楷体" w:eastAsia="楷体" w:cs="楷体"/>
          <w:b w:val="0"/>
          <w:bCs w:val="0"/>
          <w:spacing w:val="-2"/>
          <w:sz w:val="28"/>
          <w:szCs w:val="28"/>
          <w:lang w:eastAsia="zh-CN"/>
          <w14:textOutline w14:w="4354" w14:cap="flat" w14:cmpd="sng">
            <w14:solidFill>
              <w14:srgbClr w14:val="000000"/>
            </w14:solidFill>
            <w14:prstDash w14:val="solid"/>
            <w14:miter w14:val="0"/>
          </w14:textOutline>
        </w:rPr>
      </w:pPr>
      <w:r>
        <w:rPr>
          <w:rFonts w:hint="eastAsia" w:ascii="楷体" w:hAnsi="楷体" w:eastAsia="楷体" w:cs="楷体"/>
          <w:b w:val="0"/>
          <w:bCs w:val="0"/>
          <w:spacing w:val="-2"/>
          <w:sz w:val="28"/>
          <w:szCs w:val="28"/>
          <w:lang w:val="en-US" w:eastAsia="zh-CN"/>
          <w14:textOutline w14:w="4354" w14:cap="flat" w14:cmpd="sng">
            <w14:solidFill>
              <w14:srgbClr w14:val="000000"/>
            </w14:solidFill>
            <w14:prstDash w14:val="solid"/>
            <w14:miter w14:val="0"/>
          </w14:textOutline>
        </w:rPr>
        <w:t>（三）</w:t>
      </w:r>
      <w:r>
        <w:rPr>
          <w:rFonts w:hint="eastAsia" w:ascii="楷体" w:hAnsi="楷体" w:eastAsia="楷体" w:cs="楷体"/>
          <w:b w:val="0"/>
          <w:bCs w:val="0"/>
          <w:spacing w:val="-2"/>
          <w:sz w:val="28"/>
          <w:szCs w:val="28"/>
          <w:lang w:eastAsia="zh-CN"/>
          <w14:textOutline w14:w="4354" w14:cap="flat" w14:cmpd="sng">
            <w14:solidFill>
              <w14:srgbClr w14:val="000000"/>
            </w14:solidFill>
            <w14:prstDash w14:val="solid"/>
            <w14:miter w14:val="0"/>
          </w14:textOutline>
        </w:rPr>
        <w:t>相关责任和考核</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1.外包公司责任</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1.1 按期足额配备相关工作人员：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1.2 与外包服务人员签订劳动合同、缴纳社会保险、提供相应的劳动保障；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1.3 承担劳动法规定的责任和生产责任等全部外包责任；</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1.4 外包公司必须支付缴纳聘用人员《劳动法》和《劳动合同法》规定的相关费用，因未按法律法规支付缴纳聘用人员相关费用而引发的劳资纠纷由外包公司全权负责；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1.5 针对本项目服务人员提供系统全面的业务培训。</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2.项目考核</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2.1 外包服务团队管理情况，包括团队配置、规章制度建立、团队建设、员工满意度等方面；</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2.2 各项工作落实情况，包括人员招聘、劳动纠纷解决、工资福利发放、员工培训等方面；</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2.3 投诉或媒体曝光，受到上级层面好评情况等方面。</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3.外包人员考核</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3.1 接受采购方工作安排与日常管理。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3.2 遵守采购方纪律及各项规章制度。</w:t>
      </w:r>
    </w:p>
    <w:p>
      <w:pPr>
        <w:pStyle w:val="6"/>
        <w:rPr>
          <w:rFonts w:hint="eastAsia"/>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right"/>
        <w:textAlignment w:val="baseline"/>
        <w:rPr>
          <w:rFonts w:hint="eastAsia" w:ascii="仿宋" w:hAnsi="仿宋" w:eastAsia="仿宋" w:cs="仿宋"/>
          <w:spacing w:val="-6"/>
          <w:sz w:val="28"/>
          <w:szCs w:val="28"/>
          <w:u w:val="none" w:color="auto"/>
          <w14:textOutline w14:w="4354" w14:cap="flat" w14:cmpd="sng">
            <w14:solidFill>
              <w14:srgbClr w14:val="000000"/>
            </w14:solidFill>
            <w14:prstDash w14:val="solid"/>
            <w14:miter w14:val="0"/>
          </w14:textOutline>
        </w:rPr>
      </w:pPr>
      <w:r>
        <w:rPr>
          <w:rFonts w:hint="eastAsia" w:ascii="仿宋" w:hAnsi="仿宋" w:eastAsia="仿宋" w:cs="仿宋"/>
          <w:spacing w:val="-6"/>
          <w:sz w:val="28"/>
          <w:szCs w:val="28"/>
          <w:u w:val="none" w:color="auto"/>
          <w:lang w:val="en-US" w:eastAsia="zh-CN"/>
          <w14:textOutline w14:w="4354" w14:cap="flat" w14:cmpd="sng">
            <w14:solidFill>
              <w14:srgbClr w14:val="000000"/>
            </w14:solidFill>
            <w14:prstDash w14:val="solid"/>
            <w14:miter w14:val="0"/>
          </w14:textOutline>
        </w:rPr>
        <w:t xml:space="preserve">  </w:t>
      </w:r>
      <w:r>
        <w:rPr>
          <w:rFonts w:hint="eastAsia" w:ascii="仿宋" w:hAnsi="仿宋" w:eastAsia="仿宋" w:cs="仿宋"/>
          <w:spacing w:val="-6"/>
          <w:sz w:val="28"/>
          <w:szCs w:val="28"/>
          <w:u w:val="none" w:color="auto"/>
          <w14:textOutline w14:w="4354" w14:cap="flat" w14:cmpd="sng">
            <w14:solidFill>
              <w14:srgbClr w14:val="000000"/>
            </w14:solidFill>
            <w14:prstDash w14:val="solid"/>
            <w14:miter w14:val="0"/>
          </w14:textOutline>
        </w:rPr>
        <w:t>说明：以上为实质性服务要求，供应商所投服务必须完全满足或优于以上</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both"/>
        <w:textAlignment w:val="baseline"/>
        <w:rPr>
          <w:rFonts w:hint="eastAsia" w:ascii="仿宋" w:hAnsi="仿宋" w:eastAsia="仿宋" w:cs="仿宋"/>
          <w:sz w:val="28"/>
          <w:szCs w:val="28"/>
          <w:u w:val="none" w:color="auto"/>
        </w:rPr>
      </w:pPr>
      <w:r>
        <w:rPr>
          <w:rFonts w:hint="eastAsia" w:ascii="仿宋" w:hAnsi="仿宋" w:eastAsia="仿宋" w:cs="仿宋"/>
          <w:spacing w:val="-6"/>
          <w:sz w:val="28"/>
          <w:szCs w:val="28"/>
          <w:u w:val="none" w:color="auto"/>
          <w14:textOutline w14:w="4354" w14:cap="flat" w14:cmpd="sng">
            <w14:solidFill>
              <w14:srgbClr w14:val="000000"/>
            </w14:solidFill>
            <w14:prstDash w14:val="solid"/>
            <w14:miter w14:val="0"/>
          </w14:textOutline>
        </w:rPr>
        <w:t>技术指标</w:t>
      </w:r>
      <w:r>
        <w:rPr>
          <w:rFonts w:hint="eastAsia" w:ascii="仿宋" w:hAnsi="仿宋" w:eastAsia="仿宋" w:cs="仿宋"/>
          <w:spacing w:val="-7"/>
          <w:sz w:val="28"/>
          <w:szCs w:val="28"/>
          <w:u w:val="none" w:color="auto"/>
          <w14:textOutline w14:w="4354" w14:cap="flat" w14:cmpd="sng">
            <w14:solidFill>
              <w14:srgbClr w14:val="000000"/>
            </w14:solidFill>
            <w14:prstDash w14:val="solid"/>
            <w14:miter w14:val="0"/>
          </w14:textOutline>
        </w:rPr>
        <w:t>要求，</w:t>
      </w:r>
      <w:r>
        <w:rPr>
          <w:rFonts w:hint="eastAsia" w:ascii="仿宋" w:hAnsi="仿宋" w:eastAsia="仿宋" w:cs="仿宋"/>
          <w:sz w:val="28"/>
          <w:szCs w:val="28"/>
          <w:u w:val="none" w:color="auto"/>
          <w14:textOutline w14:w="4354" w14:cap="flat" w14:cmpd="sng">
            <w14:solidFill>
              <w14:srgbClr w14:val="000000"/>
            </w14:solidFill>
            <w14:prstDash w14:val="solid"/>
            <w14:miter w14:val="0"/>
          </w14:textOutline>
        </w:rPr>
        <w:t>任何一项不满足视为无效响应。</w:t>
      </w:r>
    </w:p>
    <w:sectPr>
      <w:pgSz w:w="11907" w:h="16839"/>
      <w:pgMar w:top="1431" w:right="1350" w:bottom="0" w:left="142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64F2B"/>
    <w:multiLevelType w:val="singleLevel"/>
    <w:tmpl w:val="67064F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I0YzY3YWI5ZWRhODUxOTcwNDYwMmJjZGFiNjViOTAifQ=="/>
  </w:docVars>
  <w:rsids>
    <w:rsidRoot w:val="00000000"/>
    <w:rsid w:val="1224417B"/>
    <w:rsid w:val="17E44A98"/>
    <w:rsid w:val="1B274BC5"/>
    <w:rsid w:val="241D0D13"/>
    <w:rsid w:val="2E8E1A4E"/>
    <w:rsid w:val="3E0C4C22"/>
    <w:rsid w:val="3F082F2C"/>
    <w:rsid w:val="46E621B4"/>
    <w:rsid w:val="4BE82CBF"/>
    <w:rsid w:val="57EE3633"/>
    <w:rsid w:val="590746B9"/>
    <w:rsid w:val="5B9465A1"/>
    <w:rsid w:val="5B970EFC"/>
    <w:rsid w:val="5C673AA3"/>
    <w:rsid w:val="699E1D53"/>
    <w:rsid w:val="6D7C7C64"/>
    <w:rsid w:val="773274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4"/>
      <w:szCs w:val="24"/>
      <w:lang w:val="en-US" w:eastAsia="en-US" w:bidi="ar-SA"/>
    </w:rPr>
  </w:style>
  <w:style w:type="paragraph" w:styleId="3">
    <w:name w:val="Normal (Web)"/>
    <w:basedOn w:val="1"/>
    <w:qFormat/>
    <w:uiPriority w:val="99"/>
    <w:pPr>
      <w:widowControl/>
      <w:spacing w:before="100" w:beforeLines="0" w:beforeAutospacing="1" w:after="100" w:afterLines="0" w:afterAutospacing="1"/>
      <w:jc w:val="left"/>
    </w:pPr>
    <w:rPr>
      <w:rFonts w:ascii="宋体" w:hAnsi="宋体" w:eastAsia="宋体" w:cs="宋体"/>
      <w:color w:val="000000"/>
      <w:kern w:val="0"/>
      <w:sz w:val="24"/>
      <w:szCs w:val="24"/>
    </w:rPr>
  </w:style>
  <w:style w:type="paragraph" w:customStyle="1" w:styleId="6">
    <w:name w:val="正文 "/>
    <w:basedOn w:val="1"/>
    <w:next w:val="1"/>
    <w:qFormat/>
    <w:uiPriority w:val="0"/>
    <w:pPr>
      <w:widowControl w:val="0"/>
      <w:adjustRightInd w:val="0"/>
      <w:spacing w:line="318" w:lineRule="atLeast"/>
      <w:ind w:left="369" w:firstLine="369"/>
      <w:jc w:val="both"/>
      <w:textAlignment w:val="baseline"/>
    </w:pPr>
    <w:rPr>
      <w:rFonts w:ascii="宋体"/>
      <w:sz w:val="21"/>
      <w:szCs w:val="20"/>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NormalCharacter"/>
    <w:qFormat/>
    <w:uiPriority w:val="0"/>
  </w:style>
  <w:style w:type="character" w:customStyle="1" w:styleId="9">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3827</Words>
  <Characters>4021</Characters>
  <TotalTime>3</TotalTime>
  <ScaleCrop>false</ScaleCrop>
  <LinksUpToDate>false</LinksUpToDate>
  <CharactersWithSpaces>4080</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2023-04-14T01:47:00Z</dcterms:created>
  <dc:creator>Microsoft</dc:creator>
  <cp:lastModifiedBy>来泡茶</cp:lastModifiedBy>
  <dcterms:modified xsi:type="dcterms:W3CDTF">2023-10-13T07:53:19Z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2023-10-10T10:48:10Z</vt:filetime>
  </property>
  <property fmtid="{D5CDD505-2E9C-101B-9397-08002B2CF9AE}" pid="4" name="KSOProductBuildVer">
    <vt:lpwstr>2052-12.1.0.15374</vt:lpwstr>
  </property>
  <property fmtid="{D5CDD505-2E9C-101B-9397-08002B2CF9AE}" pid="5" name="ICV">
    <vt:lpwstr>AB6BE1E25A044EA791AAECB480F9A636_13</vt:lpwstr>
  </property>
</Properties>
</file>