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Autospacing="0" w:line="440" w:lineRule="exact"/>
        <w:ind w:leftChars="0" w:firstLine="643" w:firstLineChars="200"/>
        <w:jc w:val="center"/>
        <w:textAlignment w:val="auto"/>
        <w:outlineLvl w:val="1"/>
        <w:rPr>
          <w:rFonts w:hint="eastAsia" w:ascii="黑体" w:hAnsi="黑体" w:eastAsia="黑体" w:cs="黑体"/>
          <w:b/>
          <w:bCs w:val="0"/>
          <w:kern w:val="36"/>
          <w:sz w:val="32"/>
          <w:szCs w:val="32"/>
          <w:lang w:val="en-US" w:eastAsia="zh-CN"/>
        </w:rPr>
      </w:pPr>
      <w:bookmarkStart w:id="5" w:name="_GoBack"/>
      <w:bookmarkEnd w:id="5"/>
      <w:bookmarkStart w:id="0" w:name="_Toc4310"/>
      <w:r>
        <w:rPr>
          <w:rFonts w:hint="eastAsia" w:ascii="黑体" w:hAnsi="黑体" w:eastAsia="黑体" w:cs="黑体"/>
          <w:b/>
          <w:bCs w:val="0"/>
          <w:kern w:val="36"/>
          <w:sz w:val="32"/>
          <w:szCs w:val="32"/>
          <w:lang w:val="en-US" w:eastAsia="zh-CN"/>
        </w:rPr>
        <w:t>上饶市第三人民医院消防维保</w:t>
      </w:r>
      <w:r>
        <w:rPr>
          <w:rFonts w:hint="eastAsia" w:ascii="黑体" w:hAnsi="黑体" w:eastAsia="黑体" w:cs="黑体"/>
          <w:b/>
          <w:bCs w:val="0"/>
          <w:kern w:val="36"/>
          <w:sz w:val="32"/>
          <w:szCs w:val="32"/>
        </w:rPr>
        <w:t>采购项目</w:t>
      </w:r>
      <w:r>
        <w:rPr>
          <w:rFonts w:hint="eastAsia" w:ascii="黑体" w:hAnsi="黑体" w:eastAsia="黑体" w:cs="黑体"/>
          <w:b/>
          <w:bCs w:val="0"/>
          <w:kern w:val="36"/>
          <w:sz w:val="32"/>
          <w:szCs w:val="32"/>
          <w:lang w:val="en-US" w:eastAsia="zh-CN"/>
        </w:rPr>
        <w:t>采购需求</w:t>
      </w:r>
    </w:p>
    <w:p>
      <w:pPr>
        <w:pStyle w:val="2"/>
        <w:rPr>
          <w:rFonts w:hint="eastAsia"/>
          <w:lang w:val="en-US" w:eastAsia="zh-CN"/>
        </w:rPr>
      </w:pPr>
    </w:p>
    <w:p>
      <w:pPr>
        <w:pageBreakBefore w:val="0"/>
        <w:kinsoku/>
        <w:wordWrap/>
        <w:overflowPunct/>
        <w:topLinePunct w:val="0"/>
        <w:autoSpaceDE/>
        <w:autoSpaceDN/>
        <w:bidi w:val="0"/>
        <w:snapToGrid/>
        <w:spacing w:line="440" w:lineRule="exact"/>
        <w:ind w:firstLine="480" w:firstLineChars="200"/>
        <w:rPr>
          <w:rFonts w:hint="eastAsia" w:ascii="方正仿宋_GB2312" w:hAnsi="方正仿宋_GB2312" w:eastAsia="方正仿宋_GB2312" w:cs="方正仿宋_GB2312"/>
          <w:bCs w:val="0"/>
          <w:color w:val="auto"/>
          <w:sz w:val="24"/>
          <w:szCs w:val="24"/>
          <w:highlight w:val="none"/>
          <w:lang w:eastAsia="zh-CN"/>
        </w:rPr>
      </w:pPr>
      <w:r>
        <w:rPr>
          <w:rFonts w:hint="eastAsia" w:ascii="方正仿宋_GB2312" w:hAnsi="方正仿宋_GB2312" w:eastAsia="方正仿宋_GB2312" w:cs="方正仿宋_GB2312"/>
          <w:sz w:val="24"/>
          <w:szCs w:val="24"/>
        </w:rPr>
        <w:t>本</w:t>
      </w:r>
      <w:r>
        <w:rPr>
          <w:rFonts w:hint="eastAsia" w:ascii="方正仿宋_GB2312" w:hAnsi="方正仿宋_GB2312" w:eastAsia="方正仿宋_GB2312" w:cs="方正仿宋_GB2312"/>
          <w:sz w:val="24"/>
          <w:szCs w:val="24"/>
          <w:lang w:eastAsia="zh-CN"/>
        </w:rPr>
        <w:t>项目</w:t>
      </w:r>
      <w:r>
        <w:rPr>
          <w:rFonts w:hint="eastAsia" w:ascii="方正仿宋_GB2312" w:hAnsi="方正仿宋_GB2312" w:eastAsia="方正仿宋_GB2312" w:cs="方正仿宋_GB2312"/>
          <w:sz w:val="24"/>
          <w:szCs w:val="24"/>
        </w:rPr>
        <w:t>位于江西省</w:t>
      </w:r>
      <w:r>
        <w:rPr>
          <w:rFonts w:hint="eastAsia" w:ascii="方正仿宋_GB2312" w:hAnsi="方正仿宋_GB2312" w:eastAsia="方正仿宋_GB2312" w:cs="方正仿宋_GB2312"/>
          <w:sz w:val="24"/>
          <w:szCs w:val="24"/>
          <w:lang w:val="en-US" w:eastAsia="zh-CN"/>
        </w:rPr>
        <w:t>上饶</w:t>
      </w:r>
      <w:r>
        <w:rPr>
          <w:rFonts w:hint="eastAsia" w:ascii="方正仿宋_GB2312" w:hAnsi="方正仿宋_GB2312" w:eastAsia="方正仿宋_GB2312" w:cs="方正仿宋_GB2312"/>
          <w:sz w:val="24"/>
          <w:szCs w:val="24"/>
        </w:rPr>
        <w:t>市</w:t>
      </w:r>
      <w:r>
        <w:rPr>
          <w:rFonts w:hint="eastAsia" w:ascii="方正仿宋_GB2312" w:hAnsi="方正仿宋_GB2312" w:eastAsia="方正仿宋_GB2312" w:cs="方正仿宋_GB2312"/>
          <w:sz w:val="24"/>
          <w:szCs w:val="24"/>
          <w:lang w:val="en-US" w:eastAsia="zh-CN"/>
        </w:rPr>
        <w:t>信州区陶侃路66号</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总建筑面积22500平方米。</w:t>
      </w:r>
    </w:p>
    <w:p>
      <w:pPr>
        <w:pStyle w:val="3"/>
        <w:keepNext/>
        <w:keepLines/>
        <w:pageBreakBefore w:val="0"/>
        <w:widowControl w:val="0"/>
        <w:numPr>
          <w:ilvl w:val="0"/>
          <w:numId w:val="1"/>
        </w:numPr>
        <w:kinsoku/>
        <w:wordWrap/>
        <w:overflowPunct/>
        <w:topLinePunct w:val="0"/>
        <w:autoSpaceDE/>
        <w:autoSpaceDN/>
        <w:bidi w:val="0"/>
        <w:adjustRightInd/>
        <w:snapToGrid/>
        <w:spacing w:line="440" w:lineRule="exact"/>
        <w:ind w:left="0" w:leftChars="0" w:firstLine="482" w:firstLineChars="200"/>
        <w:jc w:val="both"/>
        <w:textAlignment w:val="auto"/>
        <w:rPr>
          <w:rFonts w:hint="eastAsia" w:ascii="黑体" w:hAnsi="黑体" w:eastAsia="黑体" w:cs="黑体"/>
          <w:sz w:val="24"/>
          <w:szCs w:val="24"/>
        </w:rPr>
      </w:pPr>
      <w:r>
        <w:rPr>
          <w:rFonts w:hint="eastAsia" w:ascii="黑体" w:hAnsi="黑体" w:eastAsia="黑体" w:cs="黑体"/>
          <w:bCs w:val="0"/>
          <w:color w:val="auto"/>
          <w:sz w:val="24"/>
          <w:szCs w:val="24"/>
          <w:highlight w:val="none"/>
          <w:lang w:eastAsia="zh-CN"/>
        </w:rPr>
        <w:t>技术要求</w:t>
      </w:r>
      <w:bookmarkEnd w:id="0"/>
    </w:p>
    <w:p>
      <w:pPr>
        <w:pageBreakBefore w:val="0"/>
        <w:kinsoku/>
        <w:wordWrap/>
        <w:overflowPunct/>
        <w:topLinePunct w:val="0"/>
        <w:autoSpaceDE/>
        <w:autoSpaceDN/>
        <w:bidi w:val="0"/>
        <w:snapToGrid/>
        <w:spacing w:line="440" w:lineRule="exact"/>
        <w:ind w:leftChars="0" w:firstLine="482" w:firstLineChars="200"/>
        <w:rPr>
          <w:rFonts w:hint="eastAsia" w:ascii="楷体" w:hAnsi="楷体" w:eastAsia="楷体" w:cs="楷体"/>
          <w:b/>
          <w:bCs/>
          <w:sz w:val="24"/>
          <w:szCs w:val="24"/>
        </w:rPr>
      </w:pPr>
      <w:bookmarkStart w:id="1" w:name="_Toc32406034"/>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一</w:t>
      </w: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项目</w:t>
      </w:r>
      <w:r>
        <w:rPr>
          <w:rFonts w:hint="eastAsia" w:ascii="楷体" w:hAnsi="楷体" w:eastAsia="楷体" w:cs="楷体"/>
          <w:b/>
          <w:bCs/>
          <w:sz w:val="24"/>
          <w:szCs w:val="24"/>
        </w:rPr>
        <w:t>服务范围</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1.火灾自动报警系统：包括但不限于火灾自动报警控制器、烟感、温感探测器、警铃、控制模块、手动报警按钮触发装置、火灾报警控制器等。</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2.消防联动控制系统：包括但不限于消防联动控制台、排烟风机、防火卷帘门、防火门等系统。</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3.疏散指示、应急照明系统。</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4.消防栓系统：包括但不限于室内外的消防栓、水泵、接合器、安全信号阀等。</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5.自动喷水系统：包括但不限于湿式报警阀、水流指示安全信号阀、喷头、系统控制阀、喷淋水泵等。</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6.防排烟系统。</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7.气体灭火系统。</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8.消防通讯、应急广播系统。</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9.</w:t>
      </w:r>
      <w:r>
        <w:rPr>
          <w:rFonts w:hint="eastAsia" w:ascii="方正仿宋_GB2312" w:hAnsi="方正仿宋_GB2312" w:eastAsia="方正仿宋_GB2312" w:cs="方正仿宋_GB2312"/>
          <w:sz w:val="24"/>
          <w:szCs w:val="24"/>
          <w:lang w:val="en-US" w:eastAsia="zh-CN"/>
        </w:rPr>
        <w:t>院内</w:t>
      </w:r>
      <w:r>
        <w:rPr>
          <w:rFonts w:hint="eastAsia" w:ascii="方正仿宋_GB2312" w:hAnsi="方正仿宋_GB2312" w:eastAsia="方正仿宋_GB2312" w:cs="方正仿宋_GB2312"/>
          <w:sz w:val="24"/>
          <w:szCs w:val="24"/>
        </w:rPr>
        <w:t>其它消防系统的维修保养，包括</w:t>
      </w:r>
      <w:r>
        <w:rPr>
          <w:rFonts w:hint="eastAsia" w:ascii="方正仿宋_GB2312" w:hAnsi="方正仿宋_GB2312" w:eastAsia="方正仿宋_GB2312" w:cs="方正仿宋_GB2312"/>
          <w:sz w:val="24"/>
          <w:szCs w:val="24"/>
          <w:lang w:eastAsia="zh-CN"/>
        </w:rPr>
        <w:t>不</w:t>
      </w:r>
      <w:r>
        <w:rPr>
          <w:rFonts w:hint="eastAsia" w:ascii="方正仿宋_GB2312" w:hAnsi="方正仿宋_GB2312" w:eastAsia="方正仿宋_GB2312" w:cs="方正仿宋_GB2312"/>
          <w:sz w:val="24"/>
          <w:szCs w:val="24"/>
        </w:rPr>
        <w:t>限于以上内容。（主要消防设备设施见附件一）</w:t>
      </w:r>
    </w:p>
    <w:p>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二</w:t>
      </w:r>
      <w:r>
        <w:rPr>
          <w:rFonts w:hint="eastAsia" w:ascii="楷体" w:hAnsi="楷体" w:eastAsia="楷体" w:cs="楷体"/>
          <w:b/>
          <w:bCs/>
          <w:sz w:val="24"/>
          <w:szCs w:val="24"/>
          <w:lang w:eastAsia="zh-CN"/>
        </w:rPr>
        <w:t>）</w:t>
      </w:r>
      <w:r>
        <w:rPr>
          <w:rFonts w:hint="eastAsia" w:ascii="楷体" w:hAnsi="楷体" w:eastAsia="楷体" w:cs="楷体"/>
          <w:b/>
          <w:bCs/>
          <w:sz w:val="24"/>
          <w:szCs w:val="24"/>
        </w:rPr>
        <w:t>本项目消防维护管理服务工作内容</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乙方严格按照国家有关消防保养的规定，对</w:t>
      </w:r>
      <w:r>
        <w:rPr>
          <w:rFonts w:hint="eastAsia" w:ascii="方正仿宋_GB2312" w:hAnsi="方正仿宋_GB2312" w:eastAsia="方正仿宋_GB2312" w:cs="方正仿宋_GB2312"/>
          <w:sz w:val="24"/>
          <w:szCs w:val="24"/>
          <w:lang w:val="en-US" w:eastAsia="zh-CN"/>
        </w:rPr>
        <w:t>我院</w:t>
      </w:r>
      <w:r>
        <w:rPr>
          <w:rFonts w:hint="eastAsia" w:ascii="方正仿宋_GB2312" w:hAnsi="方正仿宋_GB2312" w:eastAsia="方正仿宋_GB2312" w:cs="方正仿宋_GB2312"/>
          <w:sz w:val="24"/>
          <w:szCs w:val="24"/>
        </w:rPr>
        <w:t>的消防系统进行维修保养。具体工作内容为：</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1.定期对委托保养的消防各系统进行不定期周巡查维修、月抽查、年检并进行测试保养，重点节日及其他活动前进行重点排查，检查结果由乙方人员签字并盖章</w:t>
      </w:r>
      <w:r>
        <w:rPr>
          <w:rFonts w:hint="eastAsia" w:ascii="方正仿宋_GB2312" w:hAnsi="方正仿宋_GB2312" w:eastAsia="方正仿宋_GB2312" w:cs="方正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2.对委托保养的消防各系统检测发现的故障以及隐患处理、排除；</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3.对委托保养的消防各系统产生故障零部件的维修、修理更换</w:t>
      </w:r>
      <w:r>
        <w:rPr>
          <w:rFonts w:hint="eastAsia" w:ascii="方正仿宋_GB2312" w:hAnsi="方正仿宋_GB2312" w:eastAsia="方正仿宋_GB2312" w:cs="方正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4.对委托保养的消防各系统出现的险情，按照甲方要求预防规范进行处理、排除</w:t>
      </w:r>
      <w:r>
        <w:rPr>
          <w:rFonts w:hint="eastAsia" w:ascii="方正仿宋_GB2312" w:hAnsi="方正仿宋_GB2312" w:eastAsia="方正仿宋_GB2312" w:cs="方正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5.按《消防法》要求，建立健全消防档案，做好日常检修、维护记录。</w:t>
      </w:r>
    </w:p>
    <w:p>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textAlignment w:val="auto"/>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三</w:t>
      </w:r>
      <w:r>
        <w:rPr>
          <w:rFonts w:hint="eastAsia" w:ascii="楷体" w:hAnsi="楷体" w:eastAsia="楷体" w:cs="楷体"/>
          <w:b/>
          <w:bCs/>
          <w:sz w:val="24"/>
          <w:szCs w:val="24"/>
          <w:lang w:eastAsia="zh-CN"/>
        </w:rPr>
        <w:t>）相关要求</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例行检修（在甲方工作人员全程配合并协助共同参与的情况下）</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每周进行巡查并及时维修</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每周派员到</w:t>
      </w:r>
      <w:r>
        <w:rPr>
          <w:rFonts w:hint="eastAsia" w:ascii="方正仿宋_GB2312" w:hAnsi="方正仿宋_GB2312" w:eastAsia="方正仿宋_GB2312" w:cs="方正仿宋_GB2312"/>
          <w:sz w:val="24"/>
          <w:szCs w:val="24"/>
          <w:lang w:val="en-US" w:eastAsia="zh-CN"/>
        </w:rPr>
        <w:t>医院</w:t>
      </w:r>
      <w:r>
        <w:rPr>
          <w:rFonts w:hint="eastAsia" w:ascii="方正仿宋_GB2312" w:hAnsi="方正仿宋_GB2312" w:eastAsia="方正仿宋_GB2312" w:cs="方正仿宋_GB2312"/>
          <w:sz w:val="24"/>
          <w:szCs w:val="24"/>
        </w:rPr>
        <w:t>对火灾自动报警系统日常误报警清查，确保报警系统的正常、灵敏、精确；</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2发现以上隐患，及时排除修复。重大隐患应立即与甲方</w:t>
      </w:r>
      <w:r>
        <w:rPr>
          <w:rFonts w:hint="eastAsia" w:ascii="方正仿宋_GB2312" w:hAnsi="方正仿宋_GB2312" w:eastAsia="方正仿宋_GB2312" w:cs="方正仿宋_GB2312"/>
          <w:sz w:val="24"/>
          <w:szCs w:val="24"/>
          <w:lang w:val="en-US" w:eastAsia="zh-CN"/>
        </w:rPr>
        <w:t>管理部门保卫科</w:t>
      </w:r>
      <w:r>
        <w:rPr>
          <w:rFonts w:hint="eastAsia" w:ascii="方正仿宋_GB2312" w:hAnsi="方正仿宋_GB2312" w:eastAsia="方正仿宋_GB2312" w:cs="方正仿宋_GB2312"/>
          <w:sz w:val="24"/>
          <w:szCs w:val="24"/>
        </w:rPr>
        <w:t>采取应急措施。</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每月进行一次常规抽查检查测试</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1在每周检查巡视的基础上每月一次对有烟感探测报警点、温感探测报警点的场所进行抽查吹烟测试灵敏度，抽查率达到80%以上；检查消防水泵、稳压泵、所有相关设备运作正常；对消防水系统进行末端试水抽查，室外消防栓抽查检查。确保室内外消防栓的完好、好用，消防水出水状况符合消防规定；</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对手动报警按钮、消防栓报警按钮进行报警抽查模拟测试，抽查率达到80%以上；</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3每月一次对报警系统的联动进行抽查测试：首先报警主机调至自动档，在任意层次用烟雾或按两到三个手报报警，三四秒后报警主机启动本层或上下层的消防广播，切断本层或上下层的非消防电源；把电梯迫降至首层；启动防火分隔区的防火卷帘门；</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4每</w:t>
      </w:r>
      <w:r>
        <w:rPr>
          <w:rFonts w:hint="eastAsia" w:ascii="方正仿宋_GB2312" w:hAnsi="方正仿宋_GB2312" w:eastAsia="方正仿宋_GB2312" w:cs="方正仿宋_GB2312"/>
          <w:sz w:val="24"/>
          <w:szCs w:val="24"/>
          <w:lang w:eastAsia="zh-CN"/>
        </w:rPr>
        <w:t>月</w:t>
      </w:r>
      <w:r>
        <w:rPr>
          <w:rFonts w:hint="eastAsia" w:ascii="方正仿宋_GB2312" w:hAnsi="方正仿宋_GB2312" w:eastAsia="方正仿宋_GB2312" w:cs="方正仿宋_GB2312"/>
          <w:sz w:val="24"/>
          <w:szCs w:val="24"/>
        </w:rPr>
        <w:t>抽查检查消防各系统的弱电设备及其控制部分：抽查弱电系统的控制信号是否正常，消防设备、设施运行状态和过程控制以及相关元件是否正常。</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5每月一次对消防水系统的联动检查测试：将报警主机及喷淋泵、消防栓泵的控制柜调至自动档后任意按一个消防栓按钮报警，按规定时间启动消防栓泵；测试顶层消防栓出水是否正常。</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2.6</w:t>
      </w:r>
      <w:r>
        <w:rPr>
          <w:rFonts w:hint="eastAsia" w:ascii="方正仿宋_GB2312" w:hAnsi="方正仿宋_GB2312" w:eastAsia="方正仿宋_GB2312" w:cs="方正仿宋_GB2312"/>
          <w:sz w:val="24"/>
          <w:szCs w:val="24"/>
        </w:rPr>
        <w:t>每个月进行消防联动试验后，乙方应出具加盖乙方单位公章的详细抽查报告，内容包含具体联动抽查数量、检查地址、相关系统联运情况等，并交甲方审核存档。</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每年进行一次各系统的全面检测及试验，并就测试情况出具测试报告</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全面检测及试验内容包括：</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3.1</w:t>
      </w:r>
      <w:r>
        <w:rPr>
          <w:rFonts w:hint="eastAsia" w:ascii="方正仿宋_GB2312" w:hAnsi="方正仿宋_GB2312" w:eastAsia="方正仿宋_GB2312" w:cs="方正仿宋_GB2312"/>
          <w:sz w:val="24"/>
          <w:szCs w:val="24"/>
        </w:rPr>
        <w:t>火灾自动报警系统。包括火灾自动报警主机的声、光显示和所有外设警示设备功能；火灾探测器和手动报警按钮的动作及确认灯显示；在日常维护的基础上每年度需对手动报警器、喷淋泵、消防栓泵及管道系统的阀门轴心上润滑油，对正压风口、防火阀、风机除锈及上润滑油。</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2进行火灾系统控制器的各种测试；</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检查指示灯能否正常发光，灯丝是否断开、手动报警按钮是否破损、开关是否正常，按下报警按钮时，应能报警。</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4报警装置：当发生火灾或按下手动报警按钮时，应能启动报警装置，发出报警信号为正常；</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5对室内消火栓系统联动功能测试；</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6对防火卷帘系统联动功能测试；</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7事故广播系统联动功能测试；</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8消火栓灭火系统；</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9对消火栓、水泵组等消防设施进行外观检查是否处于完好状态；</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10检查消防水池水位水质、各阀门的启闭状态是否符合要求；</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11运行工作泵和备用泵（含补压泵），检查控制功能、电机转动和水泵加压情况及信号是否正常；</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12用消防按钮检查能否启动消防水泵；</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13进行一系列的调试，包括消防水泵的性能调试，室内外消火栓和屋顶消火栓功能调试，系统联动调试，消火栓按钮启动水泵调试，水源调试验证用水量和水柱是否符合设计要求；</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14消防广播、消防对讲系统；</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15对楼层进行送话广播：现场检查广播音量是否符合要求；</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16楼层与控制中心对讲：检查用电话手柄现场试打消防电话，各自通话应清楚、无噪音。检查电话主机通话应正常；检查、坚固广播、电话分接线端子；</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17对消防广播、消防电话联络柜、主机进行清洁、除尘；</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18全部开启广播，检测功放负载能力；</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19模拟火灾状态下进行紧急广播；</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20全面检查所有消防电话（包括机房、水泵房与控制中心对讲），其通话质量应符合要求；</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21应急照明和疏散指示系统；</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22电源切换试验；</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23外观完整；</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24喷淋系统；</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25巡检大楼内所有供水总控制阀、湿式报警控制阀组、压力控制器、补压泵、水流指示器、信号阀及其它阀门管道是否正常（包括设备外观、功能）以确保系统处于无故障状态；防止跑、冒、滴、漏发生；</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26检查水池水位，同时应采取措施保证消防水池不作他用并应对该措施进行检查，若发现故障应及时处理；</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27进行放水试验、检查湿式报警阀组、水流指示器是否符合条件，系统压力变化是否符合要求，并记录压力开关、水流指示器反馈至报警控制器的报警信号；</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28喷淋水泵每月启动运行一次，当水泵为自动控制启动时，每月仿真自动控制的条件启动运转一次；</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29检查水流指示器、压力开关等信号装置是否符合要求；</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30对系统各组件的外观压力进行检查，系统设备组件不能有碰撞变形等损伤和锈蚀情况；</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31水泵设备及主管道的支、吊架的固定不应松动；</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32机房储气瓶内压力应正常；</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33驱动装置的压力不得少于设计储存压力的90%；</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34喷头应无堵塞现象；</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35对系统进行模拟报警，检查系统是否正常报警；</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36报警信号是否正常；</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37是否反馈至报警控制器；</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38每年对所有C02瓶内容剂气压重新目测检查；</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39防火卷帘门系统；</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40巡查各卷帘门状态，手动开关有否破损；</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41检查卷帘门驱动电机及链条传动机构状况，定时加注润滑油；</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4</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检查卷帘门动作后，消防控制中心是否有反应；</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43对所有卷帘门进行全面检查，包括手动开关、电动机构、导轨清理；</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44防真火灾报警试验，全面检验卷帘门系统联动功能和状态；</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45防排烟系统-包括检测防排烟设备及防火阀的功能；</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46启动设备使其运转5分钟，观察有无异常现象；</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47检查排烟口的开户状况及操作功能；</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48检查排烟、加压风机的联动控制及控制信号返回情况；</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49防排烟各防火阀的检查，检查阀门，叶片的位置是否正确，有无变形及能否动；</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50启动防排烟系统使之工作5分钟，观察电机是否正常，测量其送风口风量；</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注：对上述全面检查测试中发现的问题故障及时组织维修更换，排除故障。对一时无法解决的问题应立即报告甲方相关人员，同时采取应急措施。</w:t>
      </w:r>
    </w:p>
    <w:bookmarkEnd w:id="1"/>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维修和突击抢修</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lang w:eastAsia="zh-CN"/>
        </w:rPr>
        <w:t>维保过程中对发现的问题或故障，应及时处理、排除。维保过程中，如确需更换零配件和材料的，</w:t>
      </w:r>
      <w:r>
        <w:rPr>
          <w:rFonts w:hint="eastAsia" w:ascii="方正仿宋_GB2312" w:hAnsi="方正仿宋_GB2312" w:eastAsia="方正仿宋_GB2312" w:cs="方正仿宋_GB2312"/>
          <w:sz w:val="24"/>
          <w:szCs w:val="24"/>
          <w:lang w:val="en-US" w:eastAsia="zh-CN"/>
        </w:rPr>
        <w:t>在经采购方同意后，5个工作日必须更换好</w:t>
      </w:r>
      <w:r>
        <w:rPr>
          <w:rFonts w:hint="eastAsia" w:ascii="方正仿宋_GB2312" w:hAnsi="方正仿宋_GB2312" w:eastAsia="方正仿宋_GB2312" w:cs="方正仿宋_GB2312"/>
          <w:sz w:val="24"/>
          <w:szCs w:val="24"/>
          <w:lang w:eastAsia="zh-CN"/>
        </w:rPr>
        <w:t>，维修完毕后，双方签字确认。</w:t>
      </w:r>
      <w:r>
        <w:rPr>
          <w:rFonts w:hint="eastAsia" w:ascii="方正仿宋_GB2312" w:hAnsi="方正仿宋_GB2312" w:eastAsia="方正仿宋_GB2312" w:cs="方正仿宋_GB2312"/>
          <w:sz w:val="24"/>
          <w:szCs w:val="24"/>
          <w:highlight w:val="none"/>
          <w:lang w:eastAsia="zh-CN"/>
        </w:rPr>
        <w:t>更换的零配件和材料必须</w:t>
      </w:r>
      <w:r>
        <w:rPr>
          <w:rFonts w:hint="eastAsia" w:ascii="方正仿宋_GB2312" w:hAnsi="方正仿宋_GB2312" w:eastAsia="方正仿宋_GB2312" w:cs="方正仿宋_GB2312"/>
          <w:sz w:val="24"/>
          <w:szCs w:val="24"/>
          <w:highlight w:val="none"/>
          <w:lang w:val="en-US" w:eastAsia="zh-CN"/>
        </w:rPr>
        <w:t>符合质量要求</w:t>
      </w:r>
      <w:r>
        <w:rPr>
          <w:rFonts w:hint="eastAsia" w:ascii="方正仿宋_GB2312" w:hAnsi="方正仿宋_GB2312" w:eastAsia="方正仿宋_GB2312" w:cs="方正仿宋_GB2312"/>
          <w:sz w:val="24"/>
          <w:szCs w:val="24"/>
          <w:highlight w:val="none"/>
          <w:lang w:eastAsia="zh-CN"/>
        </w:rPr>
        <w:t>，且新更换的零配件和材料质保期为</w:t>
      </w:r>
      <w:r>
        <w:rPr>
          <w:rFonts w:hint="eastAsia" w:ascii="方正仿宋_GB2312" w:hAnsi="方正仿宋_GB2312" w:eastAsia="方正仿宋_GB2312" w:cs="方正仿宋_GB2312"/>
          <w:sz w:val="24"/>
          <w:szCs w:val="24"/>
          <w:highlight w:val="none"/>
          <w:lang w:val="en-US" w:eastAsia="zh-CN"/>
        </w:rPr>
        <w:t>1年。</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故障突击抢修</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当维保单位接到甲方的故障通知书或电话通知时2小时内到达现场，应及时派员对该故障进行排除。小故障应该立即排除，一般故障应该在24小时内修复。中等以上故障需超过2天尚无法修复时，需书面通知甲方工作人员，增加日常管理人员与维保单位工作人员一同作好维修期间的安全防范。同时维保方增加技术力量，尽快修复故障。</w:t>
      </w:r>
    </w:p>
    <w:p>
      <w:pPr>
        <w:pStyle w:val="9"/>
        <w:pageBreakBefore w:val="0"/>
        <w:numPr>
          <w:ilvl w:val="0"/>
          <w:numId w:val="0"/>
        </w:numPr>
        <w:kinsoku/>
        <w:wordWrap/>
        <w:overflowPunct/>
        <w:topLinePunct w:val="0"/>
        <w:autoSpaceDE/>
        <w:autoSpaceDN/>
        <w:bidi w:val="0"/>
        <w:snapToGrid/>
        <w:spacing w:line="440" w:lineRule="exact"/>
        <w:ind w:leftChars="0" w:firstLine="482" w:firstLineChars="200"/>
        <w:rPr>
          <w:rFonts w:hint="eastAsia" w:ascii="楷体" w:hAnsi="楷体" w:eastAsia="楷体" w:cs="楷体"/>
          <w:b/>
          <w:sz w:val="24"/>
          <w:szCs w:val="24"/>
          <w:lang w:val="en-US" w:eastAsia="zh-CN"/>
        </w:rPr>
      </w:pPr>
      <w:r>
        <w:rPr>
          <w:rFonts w:hint="eastAsia" w:ascii="楷体" w:hAnsi="楷体" w:eastAsia="楷体" w:cs="楷体"/>
          <w:b/>
          <w:sz w:val="24"/>
          <w:szCs w:val="24"/>
          <w:lang w:val="en-US" w:eastAsia="zh-CN"/>
        </w:rPr>
        <w:t>（四）中标人责任及服务质量扣罚标准</w:t>
      </w:r>
    </w:p>
    <w:p>
      <w:pPr>
        <w:pStyle w:val="9"/>
        <w:pageBreakBefore w:val="0"/>
        <w:numPr>
          <w:ilvl w:val="0"/>
          <w:numId w:val="0"/>
        </w:numPr>
        <w:kinsoku/>
        <w:wordWrap/>
        <w:overflowPunct/>
        <w:topLinePunct w:val="0"/>
        <w:autoSpaceDE/>
        <w:autoSpaceDN/>
        <w:bidi w:val="0"/>
        <w:snapToGrid/>
        <w:spacing w:line="440" w:lineRule="exact"/>
        <w:ind w:leftChars="0"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1.中标人在维保过程中必须备齐维保所必需的设备工具。</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2.投标人须承诺为本项目配备的工作人员，在职期间为其购买劳动法规定的各项保险，其人员工资标准、劳保、福利等应执行国家和地方政府的相关法律、法规和部门规章。</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出现以下情形之一的，甲方有权解除本合同，没收履约保证金，由此造成甲方经济损失的，乙方应给予赔偿。</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1乙方违反规定，甲方书面提出整改通知，累计提出达二次，乙方未按要求及时整改的。</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2乙方提供的服务未达到要求，甲方书面提出整改通知，累计提出达二次，乙方未按要求及时整改的。</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color w:val="C00000"/>
          <w:sz w:val="24"/>
          <w:szCs w:val="24"/>
          <w:lang w:eastAsia="zh-CN"/>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3乙方将</w:t>
      </w:r>
      <w:r>
        <w:rPr>
          <w:rFonts w:hint="eastAsia" w:ascii="方正仿宋_GB2312" w:hAnsi="方正仿宋_GB2312" w:eastAsia="方正仿宋_GB2312" w:cs="方正仿宋_GB2312"/>
          <w:sz w:val="24"/>
          <w:szCs w:val="24"/>
          <w:lang w:eastAsia="zh-CN"/>
        </w:rPr>
        <w:t>维保服务</w:t>
      </w:r>
      <w:r>
        <w:rPr>
          <w:rFonts w:hint="eastAsia" w:ascii="方正仿宋_GB2312" w:hAnsi="方正仿宋_GB2312" w:eastAsia="方正仿宋_GB2312" w:cs="方正仿宋_GB2312"/>
          <w:sz w:val="24"/>
          <w:szCs w:val="24"/>
        </w:rPr>
        <w:t>全部转让给第三方承担或与第三方联营</w:t>
      </w:r>
      <w:r>
        <w:rPr>
          <w:rFonts w:hint="eastAsia" w:ascii="方正仿宋_GB2312" w:hAnsi="方正仿宋_GB2312" w:eastAsia="方正仿宋_GB2312" w:cs="方正仿宋_GB2312"/>
          <w:sz w:val="24"/>
          <w:szCs w:val="24"/>
          <w:lang w:eastAsia="zh-CN"/>
        </w:rPr>
        <w:t>的。</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4乙方无正当理由，停止或放弃为甲方提供</w:t>
      </w:r>
      <w:r>
        <w:rPr>
          <w:rFonts w:hint="eastAsia" w:ascii="方正仿宋_GB2312" w:hAnsi="方正仿宋_GB2312" w:eastAsia="方正仿宋_GB2312" w:cs="方正仿宋_GB2312"/>
          <w:sz w:val="24"/>
          <w:szCs w:val="24"/>
          <w:lang w:eastAsia="zh-CN"/>
        </w:rPr>
        <w:t>维保</w:t>
      </w:r>
      <w:r>
        <w:rPr>
          <w:rFonts w:hint="eastAsia" w:ascii="方正仿宋_GB2312" w:hAnsi="方正仿宋_GB2312" w:eastAsia="方正仿宋_GB2312" w:cs="方正仿宋_GB2312"/>
          <w:sz w:val="24"/>
          <w:szCs w:val="24"/>
        </w:rPr>
        <w:t>服务，并在甲方要求时限内仍未改正的。</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5乙方擅自改变</w:t>
      </w:r>
      <w:r>
        <w:rPr>
          <w:rFonts w:hint="eastAsia" w:ascii="方正仿宋_GB2312" w:hAnsi="方正仿宋_GB2312" w:eastAsia="方正仿宋_GB2312" w:cs="方正仿宋_GB2312"/>
          <w:sz w:val="24"/>
          <w:szCs w:val="24"/>
          <w:lang w:eastAsia="zh-CN"/>
        </w:rPr>
        <w:t>甲方消防系统的电气、电子线路和零部件</w:t>
      </w:r>
      <w:r>
        <w:rPr>
          <w:rFonts w:hint="eastAsia" w:ascii="方正仿宋_GB2312" w:hAnsi="方正仿宋_GB2312" w:eastAsia="方正仿宋_GB2312" w:cs="方正仿宋_GB2312"/>
          <w:sz w:val="24"/>
          <w:szCs w:val="24"/>
        </w:rPr>
        <w:t>。</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3.6</w:t>
      </w:r>
      <w:r>
        <w:rPr>
          <w:rFonts w:hint="eastAsia" w:ascii="方正仿宋_GB2312" w:hAnsi="方正仿宋_GB2312" w:eastAsia="方正仿宋_GB2312" w:cs="方正仿宋_GB2312"/>
          <w:sz w:val="24"/>
          <w:szCs w:val="24"/>
        </w:rPr>
        <w:t>乙方出现重大失误。</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3.7乙方不符合国家和本地有关消防规定或不符合有关消防技术服务机构从业条件。</w:t>
      </w:r>
    </w:p>
    <w:p>
      <w:pPr>
        <w:pStyle w:val="9"/>
        <w:pageBreakBefore w:val="0"/>
        <w:kinsoku/>
        <w:wordWrap/>
        <w:overflowPunct/>
        <w:topLinePunct w:val="0"/>
        <w:autoSpaceDE/>
        <w:autoSpaceDN/>
        <w:bidi w:val="0"/>
        <w:snapToGrid/>
        <w:spacing w:line="440" w:lineRule="exact"/>
        <w:ind w:leftChars="0" w:firstLine="480" w:firstLineChars="200"/>
        <w:rPr>
          <w:rFonts w:hint="eastAsia" w:ascii="方正仿宋_GB2312" w:hAnsi="方正仿宋_GB2312" w:eastAsia="方正仿宋_GB2312" w:cs="方正仿宋_GB2312"/>
          <w:color w:val="FF0000"/>
          <w:kern w:val="0"/>
          <w:sz w:val="24"/>
          <w:szCs w:val="24"/>
        </w:rPr>
      </w:pPr>
      <w:r>
        <w:rPr>
          <w:rFonts w:hint="eastAsia" w:ascii="方正仿宋_GB2312" w:hAnsi="方正仿宋_GB2312" w:eastAsia="方正仿宋_GB2312" w:cs="方正仿宋_GB2312"/>
          <w:kern w:val="0"/>
          <w:sz w:val="24"/>
          <w:szCs w:val="24"/>
          <w:lang w:val="en-US" w:eastAsia="zh-CN" w:bidi="ar-SA"/>
        </w:rPr>
        <w:t>4.在维保服务期内由于中标人造成维保作业人员、群众、患者、医院工作人员等人员人身伤亡和财产损失的，由中标人承担全部责任并负责赔偿。</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5.中标人工作人员在维保期间发生的违法、违规行为，所造成一切后果及损失，由中标人承担全部法律责任并负责赔偿。</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6.相关处罚措施</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6.1中标方维保人不按合同违约佩戴乙方工作证或违反医院管理规定或没有按照合同规定要求操作，每违反一次，扣罚500元。</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 xml:space="preserve">6.2中标人在维保过程中，若需更换配件材料，在甲方同意后，未在规定时间内维修更换到位，处罚2000元/次，累计达到3次，甲方有权终止合同。  </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6.3中标人在维保维保过程中，因维保不到位受到有效投诉或被有关部门处罚的，处以1000元-5000元的罚款。</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6.4中标人在维保过程中，若采取手段屏蔽故障躲避由中标人承担的零配件费用的，一经发现，甲方有权终止合同。</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6.5中标人在维保过程中因维保不力、维修不及时、操作不慎每造成一起设备损毁或导致设备停止或中断的，除承担相应法律责任及经济损失外，还须罚款5000元/次。</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6.6中标人违反规定不按时进行巡查、检查，或违反规定不按时到现场维护保养排除故障或更换设备、零部件等不及时或维修质量问题导致甲方消防系统设备无法正常使用等，甲方有权暂停支付或拒付中标人的维保费并且甲方有权终止合同。给甲方造成损失的，中标人还应承担甲方的一切损失。</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7.签订合同之前，中标人要将派驻该维保的技术人员的身份证、相关证书等资料送采购人审查备案。中标方在维保过程中不得随意更换技术人员，若确需更换的，必须取得投标人书面同意，并且新更换的人员必须符合相关要求。</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7.1中标人配置的现场技术人员在符合标书中及中标人投标书承诺的有关要求情况下，采购人考核认为不胜任岗位工作，采购人可以要求中标人立即更换不合格人员，超过7天不更换，处罚2000元/次/人，超过半个月不更换视为停止或放弃为甲方提供维保服务。</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7.2.中标人在维保过程中配置的技术人员人数或人员标准不符合标书的规定和投标人承诺的相关规定，视为停止或放弃为甲方提供服务。</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sz w:val="24"/>
          <w:szCs w:val="24"/>
          <w:lang w:val="en-US" w:eastAsia="zh-CN"/>
        </w:rPr>
        <w:t>7.3</w:t>
      </w:r>
      <w:r>
        <w:rPr>
          <w:rFonts w:hint="eastAsia" w:ascii="方正仿宋_GB2312" w:hAnsi="方正仿宋_GB2312" w:eastAsia="方正仿宋_GB2312" w:cs="方正仿宋_GB2312"/>
          <w:color w:val="auto"/>
          <w:sz w:val="24"/>
          <w:szCs w:val="24"/>
          <w:highlight w:val="none"/>
          <w:lang w:val="en-US" w:eastAsia="zh-CN"/>
        </w:rPr>
        <w:t>中标人配置的技术人员纳入医院上班考勤，每月每人到岗率不足8个工作日或无故缺岗，处罚500元/人/天或500元/人/次，累计达3个月岗位率不足8个工作日或无故缺岗累计达3人次，甲方有权终止合同，没收履约保证金。</w:t>
      </w:r>
    </w:p>
    <w:p>
      <w:pPr>
        <w:pStyle w:val="10"/>
        <w:pageBreakBefore w:val="0"/>
        <w:kinsoku/>
        <w:wordWrap/>
        <w:overflowPunct/>
        <w:topLinePunct w:val="0"/>
        <w:autoSpaceDE/>
        <w:autoSpaceDN/>
        <w:bidi w:val="0"/>
        <w:snapToGrid/>
        <w:spacing w:line="440" w:lineRule="exact"/>
        <w:ind w:leftChars="0" w:firstLine="482" w:firstLineChars="200"/>
        <w:jc w:val="left"/>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（五）其他说明</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维保方必须配备专职不少3人，其中：1名技术带头人须具备高级以上技术职称，其他人员要求取得消防工程师、建构建筑消防员或消防设施操作员资格；技术人员要熟悉消防系统；根据甲方要求不定期对医院保安人员、医院工作人员进行培训。</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2.维保质量标准参照国家和现行相关行业的施工测试规范和评定标准，质量等级达到合格，满足相关政府部门行业及质量管理所需的检验要求。</w:t>
      </w:r>
    </w:p>
    <w:p>
      <w:pPr>
        <w:pStyle w:val="10"/>
        <w:pageBreakBefore w:val="0"/>
        <w:kinsoku/>
        <w:wordWrap/>
        <w:overflowPunct/>
        <w:topLinePunct w:val="0"/>
        <w:autoSpaceDE/>
        <w:autoSpaceDN/>
        <w:bidi w:val="0"/>
        <w:snapToGrid/>
        <w:spacing w:line="440" w:lineRule="exact"/>
        <w:ind w:leftChars="0" w:firstLine="482" w:firstLineChars="200"/>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（六）零配件清单</w:t>
      </w: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p>
    <w:p>
      <w:pPr>
        <w:pStyle w:val="10"/>
        <w:pageBreakBefore w:val="0"/>
        <w:kinsoku/>
        <w:wordWrap/>
        <w:overflowPunct/>
        <w:topLinePunct w:val="0"/>
        <w:autoSpaceDE/>
        <w:autoSpaceDN/>
        <w:bidi w:val="0"/>
        <w:snapToGrid/>
        <w:spacing w:line="440" w:lineRule="exact"/>
        <w:ind w:leftChars="0" w:firstLine="480" w:firstLineChars="200"/>
        <w:jc w:val="left"/>
        <w:rPr>
          <w:rFonts w:hint="eastAsia" w:ascii="方正仿宋_GB2312" w:hAnsi="方正仿宋_GB2312" w:eastAsia="方正仿宋_GB2312" w:cs="方正仿宋_GB2312"/>
          <w:sz w:val="24"/>
          <w:szCs w:val="24"/>
          <w:lang w:val="en-US" w:eastAsia="zh-CN"/>
        </w:rPr>
      </w:pPr>
    </w:p>
    <w:p>
      <w:pPr>
        <w:keepNext w:val="0"/>
        <w:keepLines w:val="0"/>
        <w:pageBreakBefore w:val="0"/>
        <w:widowControl/>
        <w:kinsoku/>
        <w:wordWrap/>
        <w:overflowPunct/>
        <w:topLinePunct w:val="0"/>
        <w:autoSpaceDE/>
        <w:autoSpaceDN/>
        <w:bidi w:val="0"/>
        <w:snapToGrid/>
        <w:spacing w:line="440" w:lineRule="exact"/>
        <w:ind w:left="0" w:leftChars="0" w:right="0" w:firstLine="480" w:firstLineChars="20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备注：以上零配件清单的最高限价（含人员服务费、运杂费、技术服务费、税费等费用），</w:t>
      </w:r>
      <w:r>
        <w:rPr>
          <w:rFonts w:hint="eastAsia" w:ascii="方正仿宋_GB2312" w:hAnsi="方正仿宋_GB2312" w:eastAsia="方正仿宋_GB2312" w:cs="方正仿宋_GB2312"/>
          <w:kern w:val="0"/>
          <w:sz w:val="24"/>
          <w:szCs w:val="24"/>
          <w:lang w:val="en-US" w:eastAsia="zh-CN" w:bidi="ar-SA"/>
        </w:rPr>
        <w:t>清单外的零配件按照清单内最终折扣率结算（市场价*折扣率）。</w:t>
      </w:r>
    </w:p>
    <w:p>
      <w:pPr>
        <w:pStyle w:val="13"/>
        <w:keepNext w:val="0"/>
        <w:keepLines w:val="0"/>
        <w:pageBreakBefore w:val="0"/>
        <w:widowControl w:val="0"/>
        <w:numPr>
          <w:ilvl w:val="0"/>
          <w:numId w:val="1"/>
        </w:numPr>
        <w:kinsoku/>
        <w:wordWrap/>
        <w:overflowPunct/>
        <w:topLinePunct w:val="0"/>
        <w:autoSpaceDE/>
        <w:autoSpaceDN/>
        <w:bidi w:val="0"/>
        <w:adjustRightInd w:val="0"/>
        <w:snapToGrid/>
        <w:spacing w:line="440" w:lineRule="exact"/>
        <w:ind w:left="0" w:leftChars="0" w:firstLine="482" w:firstLineChars="200"/>
        <w:jc w:val="both"/>
        <w:textAlignment w:val="auto"/>
        <w:rPr>
          <w:rFonts w:hint="eastAsia" w:ascii="黑体" w:hAnsi="黑体" w:eastAsia="黑体" w:cs="黑体"/>
          <w:b/>
          <w:bCs/>
          <w:color w:val="auto"/>
          <w:sz w:val="24"/>
          <w:szCs w:val="24"/>
          <w:highlight w:val="none"/>
          <w:shd w:val="clear" w:color="auto" w:fill="auto"/>
          <w:lang w:val="en-US" w:eastAsia="zh-CN"/>
        </w:rPr>
      </w:pPr>
      <w:bookmarkStart w:id="2" w:name="_Toc365454141"/>
      <w:bookmarkStart w:id="3" w:name="_Toc320263018"/>
      <w:bookmarkStart w:id="4" w:name="_Toc403052033"/>
      <w:r>
        <w:rPr>
          <w:rFonts w:hint="eastAsia" w:ascii="黑体" w:hAnsi="黑体" w:eastAsia="黑体" w:cs="黑体"/>
          <w:b/>
          <w:bCs/>
          <w:color w:val="auto"/>
          <w:sz w:val="24"/>
          <w:szCs w:val="24"/>
          <w:highlight w:val="none"/>
          <w:shd w:val="clear" w:color="auto" w:fill="auto"/>
          <w:lang w:val="en-US" w:eastAsia="zh-CN"/>
        </w:rPr>
        <w:t>商务条款</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Chars="0" w:firstLine="480" w:firstLineChars="200"/>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服务地点</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采购人指定地点。</w:t>
      </w:r>
    </w:p>
    <w:p>
      <w:pPr>
        <w:keepNext w:val="0"/>
        <w:keepLines w:val="0"/>
        <w:pageBreakBefore w:val="0"/>
        <w:widowControl/>
        <w:kinsoku/>
        <w:wordWrap/>
        <w:overflowPunct/>
        <w:topLinePunct w:val="0"/>
        <w:autoSpaceDE/>
        <w:autoSpaceDN/>
        <w:bidi w:val="0"/>
        <w:snapToGrid/>
        <w:spacing w:line="440" w:lineRule="exact"/>
        <w:ind w:left="0" w:leftChars="0" w:right="0" w:firstLine="480" w:firstLineChars="200"/>
        <w:jc w:val="both"/>
        <w:rPr>
          <w:rFonts w:hint="eastAsia" w:ascii="方正仿宋_GB2312" w:hAnsi="方正仿宋_GB2312" w:eastAsia="方正仿宋_GB2312" w:cs="方正仿宋_GB2312"/>
          <w:sz w:val="24"/>
          <w:szCs w:val="24"/>
          <w:highlight w:val="yellow"/>
          <w:lang w:val="en-US" w:eastAsia="zh-CN"/>
        </w:rPr>
      </w:pPr>
      <w:r>
        <w:rPr>
          <w:rFonts w:hint="eastAsia" w:ascii="方正仿宋_GB2312" w:hAnsi="方正仿宋_GB2312" w:eastAsia="方正仿宋_GB2312" w:cs="方正仿宋_GB2312"/>
          <w:kern w:val="0"/>
          <w:sz w:val="24"/>
          <w:szCs w:val="24"/>
          <w:lang w:val="en-US" w:eastAsia="zh-CN" w:bidi="ar-SA"/>
        </w:rPr>
        <w:t>2.合同履行期限：期限为2年，合同一年一签合同。如因相关政策变动，采购人有权终止合同并按最新相关政策执行。</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Chars="0"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付款方式</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color w:val="auto"/>
          <w:sz w:val="24"/>
          <w:szCs w:val="24"/>
        </w:rPr>
        <w:t>分期支付，每</w:t>
      </w:r>
      <w:r>
        <w:rPr>
          <w:rFonts w:hint="eastAsia" w:ascii="方正仿宋_GB2312" w:hAnsi="方正仿宋_GB2312" w:eastAsia="方正仿宋_GB2312" w:cs="方正仿宋_GB2312"/>
          <w:color w:val="auto"/>
          <w:sz w:val="24"/>
          <w:szCs w:val="24"/>
          <w:lang w:eastAsia="zh-CN"/>
        </w:rPr>
        <w:t>季度</w:t>
      </w:r>
      <w:r>
        <w:rPr>
          <w:rFonts w:hint="eastAsia" w:ascii="方正仿宋_GB2312" w:hAnsi="方正仿宋_GB2312" w:eastAsia="方正仿宋_GB2312" w:cs="方正仿宋_GB2312"/>
          <w:color w:val="auto"/>
          <w:sz w:val="24"/>
          <w:szCs w:val="24"/>
        </w:rPr>
        <w:t>支付一次，由中标方每</w:t>
      </w:r>
      <w:r>
        <w:rPr>
          <w:rFonts w:hint="eastAsia" w:ascii="方正仿宋_GB2312" w:hAnsi="方正仿宋_GB2312" w:eastAsia="方正仿宋_GB2312" w:cs="方正仿宋_GB2312"/>
          <w:color w:val="auto"/>
          <w:sz w:val="24"/>
          <w:szCs w:val="24"/>
          <w:lang w:eastAsia="zh-CN"/>
        </w:rPr>
        <w:t>季度</w:t>
      </w:r>
      <w:r>
        <w:rPr>
          <w:rFonts w:hint="eastAsia" w:ascii="方正仿宋_GB2312" w:hAnsi="方正仿宋_GB2312" w:eastAsia="方正仿宋_GB2312" w:cs="方正仿宋_GB2312"/>
          <w:color w:val="auto"/>
          <w:sz w:val="24"/>
          <w:szCs w:val="24"/>
        </w:rPr>
        <w:t>的月底开具发票向甲方申请</w:t>
      </w:r>
    </w:p>
    <w:p>
      <w:pPr>
        <w:pStyle w:val="13"/>
        <w:keepNext w:val="0"/>
        <w:keepLines w:val="0"/>
        <w:pageBreakBefore w:val="0"/>
        <w:widowControl w:val="0"/>
        <w:numPr>
          <w:ilvl w:val="0"/>
          <w:numId w:val="0"/>
        </w:numPr>
        <w:kinsoku/>
        <w:wordWrap/>
        <w:overflowPunct/>
        <w:topLinePunct w:val="0"/>
        <w:autoSpaceDE/>
        <w:autoSpaceDN/>
        <w:bidi w:val="0"/>
        <w:adjustRightInd w:val="0"/>
        <w:snapToGrid/>
        <w:spacing w:line="440" w:lineRule="exact"/>
        <w:jc w:val="both"/>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color w:val="auto"/>
          <w:sz w:val="24"/>
          <w:szCs w:val="24"/>
        </w:rPr>
        <w:t>维保费用，同时将本</w:t>
      </w:r>
      <w:r>
        <w:rPr>
          <w:rFonts w:hint="eastAsia" w:ascii="方正仿宋_GB2312" w:hAnsi="方正仿宋_GB2312" w:eastAsia="方正仿宋_GB2312" w:cs="方正仿宋_GB2312"/>
          <w:color w:val="auto"/>
          <w:sz w:val="24"/>
          <w:szCs w:val="24"/>
          <w:lang w:eastAsia="zh-CN"/>
        </w:rPr>
        <w:t>季度</w:t>
      </w:r>
      <w:r>
        <w:rPr>
          <w:rFonts w:hint="eastAsia" w:ascii="方正仿宋_GB2312" w:hAnsi="方正仿宋_GB2312" w:eastAsia="方正仿宋_GB2312" w:cs="方正仿宋_GB2312"/>
          <w:color w:val="auto"/>
          <w:sz w:val="24"/>
          <w:szCs w:val="24"/>
        </w:rPr>
        <w:t>内经甲方相关人员签字确认的维保记录交付采购方；经采购方审核评定，确认符合维保服务要求支付，如不符合维保要求，甲方可视情暂缓或拒付支付维保费用。</w:t>
      </w:r>
    </w:p>
    <w:p>
      <w:pPr>
        <w:pageBreakBefore w:val="0"/>
        <w:numPr>
          <w:ilvl w:val="0"/>
          <w:numId w:val="0"/>
        </w:numPr>
        <w:kinsoku/>
        <w:wordWrap/>
        <w:overflowPunct/>
        <w:topLinePunct w:val="0"/>
        <w:autoSpaceDE/>
        <w:autoSpaceDN/>
        <w:bidi w:val="0"/>
        <w:snapToGrid/>
        <w:spacing w:line="440" w:lineRule="exact"/>
        <w:ind w:leftChars="0" w:firstLine="480" w:firstLineChars="200"/>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4.服务</w:t>
      </w:r>
      <w:r>
        <w:rPr>
          <w:rFonts w:hint="eastAsia" w:ascii="方正仿宋_GB2312" w:hAnsi="方正仿宋_GB2312" w:eastAsia="方正仿宋_GB2312" w:cs="方正仿宋_GB2312"/>
          <w:sz w:val="24"/>
          <w:szCs w:val="24"/>
        </w:rPr>
        <w:t>标准：</w:t>
      </w:r>
      <w:r>
        <w:rPr>
          <w:rFonts w:hint="eastAsia" w:ascii="方正仿宋_GB2312" w:hAnsi="方正仿宋_GB2312" w:eastAsia="方正仿宋_GB2312" w:cs="方正仿宋_GB2312"/>
          <w:sz w:val="24"/>
          <w:szCs w:val="24"/>
          <w:lang w:eastAsia="zh-CN"/>
        </w:rPr>
        <w:t>采购人将对服务年限中每个年度的服务质量进行综合考核。在首期期限中，采购人将对该年度的服务质量进行综合考核。如考核合格，则续签次期期限的服务合同。否则，采购人有权另行选择其他服务企业。首期期限中的前三个月为试用期,试用期考核不合格,终止合同，从第四个月开始进行考核。</w:t>
      </w:r>
    </w:p>
    <w:p>
      <w:pPr>
        <w:pStyle w:val="2"/>
        <w:pageBreakBefore w:val="0"/>
        <w:tabs>
          <w:tab w:val="left" w:pos="567"/>
        </w:tabs>
        <w:kinsoku/>
        <w:wordWrap/>
        <w:overflowPunct/>
        <w:topLinePunct w:val="0"/>
        <w:autoSpaceDE/>
        <w:autoSpaceDN/>
        <w:bidi w:val="0"/>
        <w:snapToGrid/>
        <w:spacing w:line="440" w:lineRule="exact"/>
        <w:ind w:firstLine="482" w:firstLineChars="200"/>
        <w:jc w:val="both"/>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kern w:val="0"/>
          <w:sz w:val="24"/>
          <w:szCs w:val="24"/>
          <w:highlight w:val="none"/>
          <w:lang w:val="zh-CN"/>
        </w:rPr>
        <w:t>以上商务条款必须满足响应，否则作无效投标。</w:t>
      </w:r>
      <w:bookmarkEnd w:id="2"/>
      <w:bookmarkEnd w:id="3"/>
      <w:bookmarkEnd w:id="4"/>
    </w:p>
    <w:p>
      <w:pPr>
        <w:pageBreakBefore w:val="0"/>
        <w:kinsoku/>
        <w:wordWrap/>
        <w:overflowPunct/>
        <w:topLinePunct w:val="0"/>
        <w:autoSpaceDE/>
        <w:autoSpaceDN/>
        <w:bidi w:val="0"/>
        <w:snapToGrid/>
        <w:spacing w:line="440" w:lineRule="exact"/>
        <w:rPr>
          <w:rFonts w:hint="eastAsia" w:ascii="方正仿宋_GB2312" w:hAnsi="方正仿宋_GB2312" w:eastAsia="方正仿宋_GB2312" w:cs="方正仿宋_GB2312"/>
        </w:rPr>
      </w:pPr>
    </w:p>
    <w:sectPr>
      <w:footerReference r:id="rId3" w:type="default"/>
      <w:pgSz w:w="11906" w:h="16838"/>
      <w:pgMar w:top="1440" w:right="1287" w:bottom="1440" w:left="1179" w:header="851" w:footer="992" w:gutter="0"/>
      <w:pgNumType w:fmt="decimal"/>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5BECD08-C632-4B2E-92CC-19AE7D42827B}"/>
  </w:font>
  <w:font w:name="黑体">
    <w:panose1 w:val="02010609060101010101"/>
    <w:charset w:val="86"/>
    <w:family w:val="auto"/>
    <w:pitch w:val="default"/>
    <w:sig w:usb0="800002BF" w:usb1="38CF7CFA" w:usb2="00000016" w:usb3="00000000" w:csb0="00040001" w:csb1="00000000"/>
    <w:embedRegular r:id="rId2" w:fontKey="{ED88441E-62FA-431D-86DD-A62CA7C509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39D1B4D4-3AE6-45BE-84B2-D31088C30DFB}"/>
  </w:font>
  <w:font w:name="楷体">
    <w:panose1 w:val="02010609060101010101"/>
    <w:charset w:val="86"/>
    <w:family w:val="auto"/>
    <w:pitch w:val="default"/>
    <w:sig w:usb0="800002BF" w:usb1="38CF7CFA" w:usb2="00000016" w:usb3="00000000" w:csb0="00040001" w:csb1="00000000"/>
    <w:embedRegular r:id="rId4" w:fontKey="{CD9EAABC-056E-4EA9-9901-23EF037B07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8F5C7"/>
    <w:multiLevelType w:val="singleLevel"/>
    <w:tmpl w:val="0238F5C7"/>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ODNlYjMwMzUxN2VlNjI5N2YzYzc2YWYzMzc5NDAifQ=="/>
  </w:docVars>
  <w:rsids>
    <w:rsidRoot w:val="00000000"/>
    <w:rsid w:val="03EB5C45"/>
    <w:rsid w:val="041D3509"/>
    <w:rsid w:val="0D722AE9"/>
    <w:rsid w:val="0EBF2DC3"/>
    <w:rsid w:val="109C20FF"/>
    <w:rsid w:val="112D6828"/>
    <w:rsid w:val="22802EE6"/>
    <w:rsid w:val="2398573D"/>
    <w:rsid w:val="276F5DBC"/>
    <w:rsid w:val="29AC5B2F"/>
    <w:rsid w:val="2B773D40"/>
    <w:rsid w:val="2B795EE5"/>
    <w:rsid w:val="30B359F5"/>
    <w:rsid w:val="32C51A10"/>
    <w:rsid w:val="33B57CD6"/>
    <w:rsid w:val="34B97B86"/>
    <w:rsid w:val="36C24BE4"/>
    <w:rsid w:val="390F5F34"/>
    <w:rsid w:val="3986533E"/>
    <w:rsid w:val="39E5497E"/>
    <w:rsid w:val="3EDB4A95"/>
    <w:rsid w:val="400973E0"/>
    <w:rsid w:val="40BA4B7E"/>
    <w:rsid w:val="43803E5D"/>
    <w:rsid w:val="43936E09"/>
    <w:rsid w:val="44D75CFE"/>
    <w:rsid w:val="46B362F7"/>
    <w:rsid w:val="48A8562A"/>
    <w:rsid w:val="4C72455F"/>
    <w:rsid w:val="4EA66D9B"/>
    <w:rsid w:val="5052092F"/>
    <w:rsid w:val="5311687F"/>
    <w:rsid w:val="53514ECE"/>
    <w:rsid w:val="550223C7"/>
    <w:rsid w:val="5B0E7B48"/>
    <w:rsid w:val="5BAF6C35"/>
    <w:rsid w:val="631A5D39"/>
    <w:rsid w:val="6C044FFE"/>
    <w:rsid w:val="6C5924BE"/>
    <w:rsid w:val="6F9B77A5"/>
    <w:rsid w:val="6FDB5DF3"/>
    <w:rsid w:val="714D4ACF"/>
    <w:rsid w:val="72FA3E08"/>
    <w:rsid w:val="78371E35"/>
    <w:rsid w:val="7BF502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1"/>
    <w:next w:val="1"/>
    <w:qFormat/>
    <w:uiPriority w:val="99"/>
    <w:pPr>
      <w:keepNext/>
      <w:keepLines/>
      <w:spacing w:line="413" w:lineRule="auto"/>
      <w:outlineLvl w:val="1"/>
    </w:pPr>
    <w:rPr>
      <w:rFonts w:ascii="Arial" w:hAnsi="Arial" w:eastAsia="黑体"/>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qFormat/>
    <w:uiPriority w:val="99"/>
    <w:pPr>
      <w:jc w:val="center"/>
    </w:pPr>
    <w:rPr>
      <w:szCs w:val="24"/>
    </w:rPr>
  </w:style>
  <w:style w:type="paragraph" w:styleId="4">
    <w:name w:val="Body Text Indent"/>
    <w:basedOn w:val="1"/>
    <w:next w:val="5"/>
    <w:qFormat/>
    <w:uiPriority w:val="99"/>
    <w:pPr>
      <w:ind w:left="420" w:leftChars="200"/>
    </w:pPr>
  </w:style>
  <w:style w:type="paragraph" w:styleId="5">
    <w:name w:val="envelope return"/>
    <w:basedOn w:val="1"/>
    <w:qFormat/>
    <w:uiPriority w:val="99"/>
    <w:pPr>
      <w:snapToGrid w:val="0"/>
    </w:pPr>
    <w:rPr>
      <w:rFonts w:ascii="Arial" w:hAnsi="Arial"/>
    </w:rPr>
  </w:style>
  <w:style w:type="paragraph" w:styleId="6">
    <w:name w:val="Normal (Web)"/>
    <w:basedOn w:val="1"/>
    <w:qFormat/>
    <w:uiPriority w:val="99"/>
    <w:pPr>
      <w:spacing w:before="100" w:beforeAutospacing="1" w:after="100" w:afterAutospacing="1"/>
      <w:ind w:left="0" w:right="0"/>
      <w:jc w:val="left"/>
    </w:pPr>
    <w:rPr>
      <w:kern w:val="0"/>
      <w:sz w:val="24"/>
      <w:lang w:val="en-US" w:eastAsia="zh-CN" w:bidi="ar"/>
    </w:rPr>
  </w:style>
  <w:style w:type="paragraph" w:customStyle="1" w:styleId="9">
    <w:name w:val="正文缩进1"/>
    <w:basedOn w:val="1"/>
    <w:next w:val="4"/>
    <w:qFormat/>
    <w:uiPriority w:val="0"/>
    <w:pPr>
      <w:ind w:firstLine="200" w:firstLineChars="200"/>
    </w:pPr>
  </w:style>
  <w:style w:type="paragraph" w:customStyle="1" w:styleId="10">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1">
    <w:name w:val="Table Text"/>
    <w:basedOn w:val="1"/>
    <w:semiHidden/>
    <w:qFormat/>
    <w:uiPriority w:val="0"/>
    <w:rPr>
      <w:rFonts w:ascii="仿宋" w:hAnsi="仿宋" w:eastAsia="仿宋" w:cs="仿宋"/>
      <w:sz w:val="24"/>
      <w:szCs w:val="24"/>
      <w:lang w:val="en-US" w:eastAsia="en-US" w:bidi="ar-SA"/>
    </w:rPr>
  </w:style>
  <w:style w:type="table" w:customStyle="1" w:styleId="12">
    <w:name w:val="Table Normal"/>
    <w:unhideWhenUsed/>
    <w:qFormat/>
    <w:uiPriority w:val="0"/>
    <w:tblPr>
      <w:tblStyle w:val="7"/>
      <w:tblCellMar>
        <w:top w:w="0" w:type="dxa"/>
        <w:left w:w="0" w:type="dxa"/>
        <w:bottom w:w="0" w:type="dxa"/>
        <w:right w:w="0" w:type="dxa"/>
      </w:tblCellMar>
    </w:tblPr>
  </w:style>
  <w:style w:type="paragraph" w:styleId="13">
    <w:name w:val="List Paragraph"/>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2022-08-05T04:58:00Z</dcterms:created>
  <dc:creator>admin</dc:creator>
  <cp:lastModifiedBy>来泡茶</cp:lastModifiedBy>
  <cp:lastPrinted>2024-02-18T09:05:06Z</cp:lastPrinted>
  <dcterms:modified xsi:type="dcterms:W3CDTF">2024-04-16T09:00:36Z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6B23346DCDD045078A2C2D7F7B5260CA_13</vt:lpwstr>
  </property>
</Properties>
</file>