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45D7B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计算机信息安全等级化三级测评服务主要参数</w:t>
      </w:r>
    </w:p>
    <w:p w14:paraId="6F7FF3A7">
      <w:pPr>
        <w:ind w:firstLine="320" w:firstLineChars="100"/>
        <w:jc w:val="both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为保障服务质量，规避实施风险，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我院开展本次测评服务要求如下：</w:t>
      </w:r>
    </w:p>
    <w:p w14:paraId="1AD245C9">
      <w:pPr>
        <w:pStyle w:val="5"/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  <w:lang w:eastAsia="zh-CN"/>
        </w:rPr>
        <w:t>服务提供商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具备国家级网络安全标准化技术委员会颁发的成员单位证书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  <w:lang w:eastAsia="zh-CN"/>
        </w:rPr>
        <w:t>；</w:t>
      </w:r>
    </w:p>
    <w:p w14:paraId="40DED2ED">
      <w:pPr>
        <w:pStyle w:val="5"/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所使用的测评工具支持对于业务系统进行管理；能够支持对应系统的等保测评等级、登录方式、技术架构、在线状态与是否属于关键基础设施等；</w:t>
      </w:r>
    </w:p>
    <w:p w14:paraId="00C3C656">
      <w:pPr>
        <w:pStyle w:val="5"/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支持从物理、网络、安全、服务器、终端等十个层面进行资产呈现；支持安全运营检查的直观展示，包含等保测评信息、上级检查与安全巡检，能够呈现安全检查事件与处理状态；</w:t>
      </w:r>
    </w:p>
    <w:p w14:paraId="1180B178">
      <w:pPr>
        <w:spacing w:line="360" w:lineRule="auto"/>
        <w:ind w:left="0" w:leftChars="0" w:firstLine="0" w:firstLineChars="0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所使用的渗透工具需通过github防绕过测试，并且测试对象包含微软、卡巴斯基、360、瑞星、IKARUS、Avast等主流权威的工具引擎。</w:t>
      </w:r>
    </w:p>
    <w:p w14:paraId="1E569FBA">
      <w:pPr>
        <w:jc w:val="both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099DE"/>
    <w:multiLevelType w:val="singleLevel"/>
    <w:tmpl w:val="065099D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D3B47DD"/>
    <w:multiLevelType w:val="multilevel"/>
    <w:tmpl w:val="3D3B47DD"/>
    <w:lvl w:ilvl="0" w:tentative="0">
      <w:start w:val="1"/>
      <w:numFmt w:val="chineseCountingThousand"/>
      <w:suff w:val="space"/>
      <w:lvlText w:val="第 %1 章"/>
      <w:lvlJc w:val="left"/>
      <w:pPr>
        <w:ind w:left="0" w:firstLine="0"/>
      </w:pPr>
      <w:rPr>
        <w:rFonts w:hint="eastAsia" w:ascii="宋体" w:hAnsi="宋体" w:eastAsia="宋体" w:cs="Times New Roman"/>
        <w:b/>
        <w:bCs w:val="0"/>
        <w:i w:val="0"/>
        <w:iCs w:val="0"/>
        <w:caps w:val="0"/>
        <w:smallCaps w:val="0"/>
        <w:vanish w:val="0"/>
        <w:spacing w:val="0"/>
        <w:kern w:val="0"/>
        <w:position w:val="0"/>
        <w:sz w:val="36"/>
        <w:u w:val="none"/>
        <w:vertAlign w:val="baseline"/>
        <w14:shadow w14:blurRad="0" w14:dist="0" w14:dir="0" w14:sx="100000" w14:sy="100000" w14:kx="0" w14:ky="0" w14:algn="none">
          <w14:srgbClr w14:val="808080"/>
        </w14:shadow>
      </w:rPr>
    </w:lvl>
    <w:lvl w:ilvl="1" w:tentative="0">
      <w:start w:val="1"/>
      <w:numFmt w:val="decimal"/>
      <w:pStyle w:val="2"/>
      <w:isLgl/>
      <w:suff w:val="space"/>
      <w:lvlText w:val="%1.%2"/>
      <w:lvlJc w:val="left"/>
      <w:pPr>
        <w:ind w:left="0" w:firstLine="0"/>
      </w:pPr>
      <w:rPr>
        <w:rFonts w:hint="eastAsia" w:ascii="宋体" w:hAnsi="宋体" w:eastAsia="宋体" w:cs="Times New Roman"/>
        <w:b/>
        <w:bCs w:val="0"/>
        <w:i w:val="0"/>
        <w:iCs w:val="0"/>
        <w:caps w:val="0"/>
        <w:smallCaps w:val="0"/>
        <w:vanish w:val="0"/>
        <w:color w:val="auto"/>
        <w:spacing w:val="0"/>
        <w:w w:val="100"/>
        <w:kern w:val="2"/>
        <w:position w:val="0"/>
        <w:sz w:val="32"/>
        <w:u w:val="none"/>
        <w:shd w:val="clear" w:color="auto" w:fill="auto"/>
        <w:vertAlign w:val="baseline"/>
        <w:lang w:val="en-US"/>
        <w14:shadow w14:blurRad="0" w14:dist="0" w14:dir="0" w14:sx="100000" w14:sy="100000" w14:kx="0" w14:ky="0" w14:algn="none">
          <w14:srgbClr w14:val="808080"/>
        </w14:shadow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-567" w:firstLine="0"/>
      </w:pPr>
      <w:rPr>
        <w:rFonts w:hint="eastAsia" w:ascii="宋体" w:hAnsi="宋体" w:eastAsia="宋体" w:cs="Times New Roman"/>
        <w:b/>
        <w:bCs w:val="0"/>
        <w:i w:val="0"/>
        <w:iCs w:val="0"/>
        <w:caps w:val="0"/>
        <w:smallCaps w:val="0"/>
        <w:vanish w:val="0"/>
        <w:spacing w:val="0"/>
        <w:kern w:val="0"/>
        <w:position w:val="0"/>
        <w:sz w:val="32"/>
        <w:u w:val="none"/>
        <w:vertAlign w:val="baseline"/>
        <w14:shadow w14:blurRad="0" w14:dist="0" w14:dir="0" w14:sx="100000" w14:sy="100000" w14:kx="0" w14:ky="0" w14:algn="none">
          <w14:srgbClr w14:val="808080"/>
        </w14:shadow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ascii="宋体" w:hAnsi="宋体" w:eastAsia="宋体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 w:ascii="宋体" w:hAnsi="宋体" w:eastAsia="宋体"/>
        <w:b/>
        <w:i w:val="0"/>
        <w:sz w:val="28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default" w:ascii="宋体" w:hAnsi="宋体" w:eastAsia="宋体" w:cs="宋体"/>
        <w:b/>
        <w:bCs/>
        <w:i w:val="0"/>
        <w:iCs w:val="0"/>
        <w:caps w:val="0"/>
        <w:smallCaps w:val="0"/>
        <w:vanish w:val="0"/>
        <w:spacing w:val="0"/>
        <w:position w:val="0"/>
        <w:sz w:val="28"/>
        <w:szCs w:val="28"/>
        <w:u w:val="none"/>
        <w:vertAlign w:val="baseline"/>
        <w14:shadow w14:blurRad="0" w14:dist="0" w14:dir="0" w14:sx="100000" w14:sy="100000" w14:kx="0" w14:ky="0" w14:algn="none">
          <w14:srgbClr w14:val="808080"/>
        </w14:shadow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default" w:ascii="宋体" w:hAnsi="宋体" w:eastAsia="宋体" w:cs="宋体"/>
        <w:b/>
        <w:bCs/>
        <w:i w:val="0"/>
        <w:iCs w:val="0"/>
        <w:caps w:val="0"/>
        <w:smallCaps w:val="0"/>
        <w:vanish w:val="0"/>
        <w:spacing w:val="0"/>
        <w:position w:val="0"/>
        <w:sz w:val="28"/>
        <w:szCs w:val="28"/>
        <w:u w:val="none"/>
        <w:vertAlign w:val="baseline"/>
        <w14:shadow w14:blurRad="0" w14:dist="0" w14:dir="0" w14:sx="100000" w14:sy="100000" w14:kx="0" w14:ky="0" w14:algn="none">
          <w14:srgbClr w14:val="808080"/>
        </w14:shadow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  <w14:shadow w14:blurRad="0" w14:dist="0" w14:dir="0" w14:sx="100000" w14:sy="100000" w14:kx="0" w14:ky="0" w14:algn="none">
          <w14:srgbClr w14:val="808080"/>
        </w14:shadow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  <w14:shadow w14:blurRad="0" w14:dist="0" w14:dir="0" w14:sx="100000" w14:sy="100000" w14:kx="0" w14:ky="0" w14:algn="none">
          <w14:srgbClr w14:val="808080"/>
        </w14:shadow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A58A4"/>
    <w:rsid w:val="04DF46D3"/>
    <w:rsid w:val="5F2A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360" w:lineRule="auto"/>
      <w:jc w:val="left"/>
      <w:outlineLvl w:val="1"/>
    </w:pPr>
    <w:rPr>
      <w:rFonts w:ascii="微软雅黑" w:hAnsi="微软雅黑" w:eastAsia="宋体" w:cstheme="majorBidi"/>
      <w:b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296</Characters>
  <Lines>0</Lines>
  <Paragraphs>0</Paragraphs>
  <TotalTime>1307</TotalTime>
  <ScaleCrop>false</ScaleCrop>
  <LinksUpToDate>false</LinksUpToDate>
  <CharactersWithSpaces>296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2025-01-21T02:04:00Z</dcterms:created>
  <dc:creator>来泡茶</dc:creator>
  <cp:lastModifiedBy>来泡茶</cp:lastModifiedBy>
  <cp:lastPrinted>2025-01-21T02:13:00Z</cp:lastPrinted>
  <dcterms:modified xsi:type="dcterms:W3CDTF">2025-02-14T02:19:31Z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E4D39695821B48C7B651419E49556CB8_13</vt:lpwstr>
  </property>
  <property fmtid="{D5CDD505-2E9C-101B-9397-08002B2CF9AE}" pid="4" name="KSOTemplateDocerSaveRecord">
    <vt:lpwstr>eyJoZGlkIjoiN2Y3NDgzNzliMzM5MTllNDU3ZjMzOGRkMTYwN2FiYzkiLCJ1c2VySWQiOiI0NjM4MjY5MTIifQ==</vt:lpwstr>
  </property>
</Properties>
</file>