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50221">
      <w:pPr>
        <w:spacing w:line="360" w:lineRule="auto"/>
        <w:jc w:val="center"/>
        <w:rPr>
          <w:rFonts w:hint="eastAsia" w:ascii="宋体" w:hAnsi="宋体" w:eastAsia="宋体" w:cs="宋体"/>
          <w:b/>
          <w:bCs/>
          <w:sz w:val="28"/>
          <w:szCs w:val="28"/>
          <w:lang w:val="en-US" w:eastAsia="zh-CN"/>
        </w:rPr>
      </w:pPr>
      <w:bookmarkStart w:id="0" w:name="_Toc9052"/>
      <w:bookmarkStart w:id="1" w:name="_Toc494114926"/>
      <w:bookmarkStart w:id="2" w:name="_Toc26856"/>
      <w:bookmarkStart w:id="3" w:name="_Toc186662498"/>
      <w:bookmarkStart w:id="4" w:name="_Toc16162"/>
      <w:bookmarkStart w:id="5" w:name="_Toc32208"/>
      <w:r>
        <w:rPr>
          <w:rFonts w:hint="eastAsia" w:ascii="宋体" w:hAnsi="宋体" w:eastAsia="宋体" w:cs="宋体"/>
          <w:b/>
          <w:bCs/>
          <w:sz w:val="28"/>
          <w:szCs w:val="28"/>
          <w:lang w:val="en-US" w:eastAsia="zh-CN"/>
        </w:rPr>
        <w:t>上饶市第三人民医院食堂食材配送采购项目（1标包-米、油、面类</w:t>
      </w:r>
      <w:r>
        <w:rPr>
          <w:rFonts w:hint="eastAsia" w:ascii="宋体" w:hAnsi="宋体" w:cs="宋体"/>
          <w:b/>
          <w:bCs/>
          <w:sz w:val="28"/>
          <w:szCs w:val="28"/>
          <w:lang w:val="en-US" w:eastAsia="zh-CN"/>
        </w:rPr>
        <w:t>）</w:t>
      </w:r>
    </w:p>
    <w:bookmarkEnd w:id="0"/>
    <w:bookmarkEnd w:id="1"/>
    <w:bookmarkEnd w:id="2"/>
    <w:bookmarkEnd w:id="3"/>
    <w:bookmarkEnd w:id="4"/>
    <w:bookmarkEnd w:id="5"/>
    <w:p w14:paraId="172E2121">
      <w:pPr>
        <w:spacing w:line="360" w:lineRule="auto"/>
        <w:jc w:val="center"/>
        <w:rPr>
          <w:rFonts w:hint="default" w:ascii="宋体" w:hAnsi="宋体" w:cs="宋体"/>
          <w:b/>
          <w:bCs/>
          <w:sz w:val="24"/>
          <w:szCs w:val="24"/>
          <w:lang w:val="en-US" w:eastAsia="zh-CN"/>
        </w:rPr>
      </w:pPr>
      <w:bookmarkStart w:id="6" w:name="_Toc490767057"/>
      <w:r>
        <w:rPr>
          <w:rFonts w:hint="eastAsia" w:ascii="宋体" w:hAnsi="宋体" w:cs="宋体"/>
          <w:b/>
          <w:bCs/>
          <w:sz w:val="24"/>
          <w:szCs w:val="24"/>
          <w:lang w:val="en-US" w:eastAsia="zh-CN"/>
        </w:rPr>
        <w:t>一、采购需求</w:t>
      </w:r>
    </w:p>
    <w:p w14:paraId="2B32B621">
      <w:pPr>
        <w:spacing w:line="360" w:lineRule="auto"/>
        <w:rPr>
          <w:rFonts w:hint="eastAsia" w:ascii="宋体" w:hAnsi="宋体" w:eastAsia="宋体" w:cs="宋体"/>
          <w:b/>
          <w:bCs/>
          <w:sz w:val="22"/>
          <w:szCs w:val="22"/>
          <w:lang w:eastAsia="zh-CN"/>
        </w:rPr>
      </w:pPr>
      <w:r>
        <w:rPr>
          <w:rFonts w:hint="eastAsia" w:ascii="宋体" w:hAnsi="宋体" w:cs="宋体"/>
          <w:b/>
          <w:bCs/>
          <w:sz w:val="22"/>
          <w:szCs w:val="22"/>
          <w:lang w:eastAsia="zh-CN"/>
        </w:rPr>
        <w:t>（</w:t>
      </w:r>
      <w:r>
        <w:rPr>
          <w:rFonts w:hint="eastAsia" w:ascii="宋体" w:hAnsi="宋体" w:cs="宋体"/>
          <w:b/>
          <w:bCs/>
          <w:sz w:val="22"/>
          <w:szCs w:val="22"/>
          <w:lang w:val="en-US" w:eastAsia="zh-CN"/>
        </w:rPr>
        <w:t>一</w:t>
      </w:r>
      <w:r>
        <w:rPr>
          <w:rFonts w:hint="eastAsia" w:ascii="宋体" w:hAnsi="宋体" w:cs="宋体"/>
          <w:b/>
          <w:bCs/>
          <w:sz w:val="22"/>
          <w:szCs w:val="22"/>
          <w:lang w:eastAsia="zh-CN"/>
        </w:rPr>
        <w:t>）</w:t>
      </w:r>
      <w:r>
        <w:rPr>
          <w:rFonts w:hint="eastAsia" w:ascii="宋体" w:hAnsi="宋体" w:eastAsia="宋体" w:cs="宋体"/>
          <w:b/>
          <w:bCs/>
          <w:sz w:val="22"/>
          <w:szCs w:val="22"/>
          <w:lang w:eastAsia="zh-CN"/>
        </w:rPr>
        <w:t>项目概况</w:t>
      </w:r>
    </w:p>
    <w:p w14:paraId="29F8E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bookmarkStart w:id="7" w:name="_Toc217446094"/>
      <w:bookmarkEnd w:id="7"/>
      <w:bookmarkStart w:id="8" w:name="_Toc14320"/>
      <w:bookmarkEnd w:id="8"/>
      <w:r>
        <w:rPr>
          <w:rFonts w:hint="eastAsia" w:ascii="宋体" w:hAnsi="宋体" w:eastAsia="宋体" w:cs="宋体"/>
          <w:sz w:val="21"/>
          <w:szCs w:val="21"/>
          <w:lang w:val="en-US" w:eastAsia="zh-CN"/>
        </w:rPr>
        <w:t>本项目为上饶市第三人民医院（总院、横峰分院）食堂大宗食材（米、油、面类）采购及配送服务，日均用餐人数约1600余人。配送地点：总院（信州区陶侃路66号）、横峰分院（横峰县莲荷乡莲荷村）。合同期2年，采用“1+1”模式，首期合同1年，期满经考核合格可续签1年，考核不合格即刻终止。</w:t>
      </w:r>
    </w:p>
    <w:p w14:paraId="47A2B7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rPr>
      </w:pPr>
      <w:r>
        <w:rPr>
          <w:rFonts w:hint="eastAsia" w:ascii="宋体" w:hAnsi="宋体" w:cs="宋体"/>
          <w:b/>
          <w:bCs/>
          <w:sz w:val="22"/>
          <w:szCs w:val="22"/>
          <w:lang w:eastAsia="zh-CN"/>
        </w:rPr>
        <w:t>（</w:t>
      </w:r>
      <w:r>
        <w:rPr>
          <w:rFonts w:hint="eastAsia" w:ascii="宋体" w:hAnsi="宋体" w:cs="宋体"/>
          <w:b/>
          <w:bCs/>
          <w:sz w:val="22"/>
          <w:szCs w:val="22"/>
          <w:lang w:val="en-US" w:eastAsia="zh-CN"/>
        </w:rPr>
        <w:t>二</w:t>
      </w:r>
      <w:r>
        <w:rPr>
          <w:rFonts w:hint="eastAsia" w:ascii="宋体" w:hAnsi="宋体" w:cs="宋体"/>
          <w:b/>
          <w:bCs/>
          <w:sz w:val="22"/>
          <w:szCs w:val="22"/>
          <w:lang w:eastAsia="zh-CN"/>
        </w:rPr>
        <w:t>）</w:t>
      </w:r>
      <w:r>
        <w:rPr>
          <w:rFonts w:hint="eastAsia" w:ascii="宋体" w:hAnsi="宋体" w:eastAsia="宋体" w:cs="宋体"/>
          <w:b/>
          <w:bCs/>
          <w:sz w:val="22"/>
          <w:szCs w:val="22"/>
        </w:rPr>
        <w:t>采购内容及质量要求</w:t>
      </w:r>
    </w:p>
    <w:tbl>
      <w:tblPr>
        <w:tblStyle w:val="8"/>
        <w:tblW w:w="4998" w:type="pct"/>
        <w:jc w:val="center"/>
        <w:tblLayout w:type="autofit"/>
        <w:tblCellMar>
          <w:top w:w="0" w:type="dxa"/>
          <w:left w:w="108" w:type="dxa"/>
          <w:bottom w:w="0" w:type="dxa"/>
          <w:right w:w="108" w:type="dxa"/>
        </w:tblCellMar>
      </w:tblPr>
      <w:tblGrid>
        <w:gridCol w:w="636"/>
        <w:gridCol w:w="1056"/>
        <w:gridCol w:w="1056"/>
        <w:gridCol w:w="5074"/>
        <w:gridCol w:w="1056"/>
      </w:tblGrid>
      <w:tr w14:paraId="693B8DDF">
        <w:tblPrEx>
          <w:tblCellMar>
            <w:top w:w="0" w:type="dxa"/>
            <w:left w:w="108" w:type="dxa"/>
            <w:bottom w:w="0" w:type="dxa"/>
            <w:right w:w="108" w:type="dxa"/>
          </w:tblCellMar>
        </w:tblPrEx>
        <w:trPr>
          <w:trHeight w:val="23" w:hRule="atLeast"/>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75612E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623" w:type="pct"/>
            <w:tcBorders>
              <w:top w:val="single" w:color="auto" w:sz="4" w:space="0"/>
              <w:left w:val="nil"/>
              <w:bottom w:val="single" w:color="auto" w:sz="4" w:space="0"/>
              <w:right w:val="single" w:color="auto" w:sz="4" w:space="0"/>
            </w:tcBorders>
            <w:noWrap/>
            <w:vAlign w:val="center"/>
          </w:tcPr>
          <w:p w14:paraId="79E81E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商品名称</w:t>
            </w:r>
          </w:p>
        </w:tc>
        <w:tc>
          <w:tcPr>
            <w:tcW w:w="609" w:type="pct"/>
            <w:tcBorders>
              <w:top w:val="single" w:color="auto" w:sz="4" w:space="0"/>
              <w:left w:val="nil"/>
              <w:bottom w:val="single" w:color="auto" w:sz="4" w:space="0"/>
              <w:right w:val="single" w:color="auto" w:sz="4" w:space="0"/>
            </w:tcBorders>
            <w:noWrap/>
            <w:vAlign w:val="center"/>
          </w:tcPr>
          <w:p w14:paraId="5F5EC72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规格等级</w:t>
            </w:r>
          </w:p>
        </w:tc>
        <w:tc>
          <w:tcPr>
            <w:tcW w:w="2994" w:type="pct"/>
            <w:tcBorders>
              <w:top w:val="single" w:color="auto" w:sz="4" w:space="0"/>
              <w:left w:val="nil"/>
              <w:bottom w:val="single" w:color="auto" w:sz="4" w:space="0"/>
              <w:right w:val="single" w:color="auto" w:sz="4" w:space="0"/>
            </w:tcBorders>
            <w:noWrap/>
            <w:vAlign w:val="center"/>
          </w:tcPr>
          <w:p w14:paraId="7B02989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511" w:type="pct"/>
            <w:tcBorders>
              <w:top w:val="single" w:color="auto" w:sz="4" w:space="0"/>
              <w:left w:val="nil"/>
              <w:bottom w:val="single" w:color="auto" w:sz="4" w:space="0"/>
              <w:right w:val="single" w:color="auto" w:sz="4" w:space="0"/>
            </w:tcBorders>
            <w:noWrap/>
            <w:vAlign w:val="center"/>
          </w:tcPr>
          <w:p w14:paraId="3C2ECB9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计量单位</w:t>
            </w:r>
          </w:p>
        </w:tc>
      </w:tr>
      <w:tr w14:paraId="1400DEE2">
        <w:tblPrEx>
          <w:tblCellMar>
            <w:top w:w="0" w:type="dxa"/>
            <w:left w:w="108" w:type="dxa"/>
            <w:bottom w:w="0" w:type="dxa"/>
            <w:right w:w="108" w:type="dxa"/>
          </w:tblCellMar>
        </w:tblPrEx>
        <w:trPr>
          <w:trHeight w:val="23" w:hRule="atLeast"/>
          <w:jc w:val="center"/>
        </w:trPr>
        <w:tc>
          <w:tcPr>
            <w:tcW w:w="260" w:type="pct"/>
            <w:tcBorders>
              <w:top w:val="nil"/>
              <w:left w:val="single" w:color="auto" w:sz="4" w:space="0"/>
              <w:bottom w:val="single" w:color="auto" w:sz="4" w:space="0"/>
              <w:right w:val="single" w:color="auto" w:sz="4" w:space="0"/>
            </w:tcBorders>
            <w:noWrap w:val="0"/>
            <w:vAlign w:val="center"/>
          </w:tcPr>
          <w:p w14:paraId="72FDC47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23" w:type="pct"/>
            <w:tcBorders>
              <w:top w:val="nil"/>
              <w:left w:val="nil"/>
              <w:bottom w:val="single" w:color="auto" w:sz="4" w:space="0"/>
              <w:right w:val="single" w:color="auto" w:sz="4" w:space="0"/>
            </w:tcBorders>
            <w:noWrap w:val="0"/>
            <w:vAlign w:val="center"/>
          </w:tcPr>
          <w:p w14:paraId="367D17C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早籼米</w:t>
            </w:r>
          </w:p>
        </w:tc>
        <w:tc>
          <w:tcPr>
            <w:tcW w:w="609" w:type="pct"/>
            <w:tcBorders>
              <w:top w:val="nil"/>
              <w:left w:val="nil"/>
              <w:bottom w:val="single" w:color="auto" w:sz="4" w:space="0"/>
              <w:right w:val="single" w:color="auto" w:sz="4" w:space="0"/>
            </w:tcBorders>
            <w:noWrap w:val="0"/>
            <w:vAlign w:val="center"/>
          </w:tcPr>
          <w:p w14:paraId="7D3F1ED2">
            <w:pPr>
              <w:spacing w:line="360" w:lineRule="auto"/>
              <w:jc w:val="center"/>
              <w:rPr>
                <w:rFonts w:hint="eastAsia" w:ascii="宋体" w:hAnsi="宋体" w:eastAsia="宋体" w:cs="宋体"/>
                <w:sz w:val="21"/>
                <w:szCs w:val="21"/>
              </w:rPr>
            </w:pPr>
            <w:bookmarkStart w:id="9" w:name="OLE_LINK306"/>
            <w:bookmarkStart w:id="10" w:name="OLE_LINK321"/>
            <w:bookmarkStart w:id="11" w:name="OLE_LINK305"/>
            <w:r>
              <w:rPr>
                <w:rFonts w:hint="eastAsia" w:ascii="宋体" w:hAnsi="宋体" w:eastAsia="宋体" w:cs="宋体"/>
                <w:sz w:val="21"/>
                <w:szCs w:val="21"/>
              </w:rPr>
              <w:t>一级及以上</w:t>
            </w:r>
            <w:bookmarkEnd w:id="9"/>
            <w:bookmarkEnd w:id="10"/>
            <w:bookmarkEnd w:id="11"/>
          </w:p>
        </w:tc>
        <w:tc>
          <w:tcPr>
            <w:tcW w:w="2994" w:type="pct"/>
            <w:tcBorders>
              <w:top w:val="nil"/>
              <w:left w:val="nil"/>
              <w:bottom w:val="single" w:color="auto" w:sz="4" w:space="0"/>
              <w:right w:val="single" w:color="auto" w:sz="4" w:space="0"/>
            </w:tcBorders>
            <w:noWrap w:val="0"/>
            <w:vAlign w:val="center"/>
          </w:tcPr>
          <w:p w14:paraId="05842C69">
            <w:pPr>
              <w:spacing w:line="360" w:lineRule="auto"/>
              <w:jc w:val="left"/>
              <w:rPr>
                <w:rFonts w:hint="eastAsia" w:ascii="宋体" w:hAnsi="宋体" w:eastAsia="宋体" w:cs="宋体"/>
                <w:sz w:val="21"/>
                <w:szCs w:val="21"/>
              </w:rPr>
            </w:pPr>
            <w:r>
              <w:rPr>
                <w:rFonts w:hint="eastAsia" w:ascii="宋体" w:hAnsi="宋体" w:eastAsia="宋体" w:cs="宋体"/>
                <w:sz w:val="21"/>
                <w:szCs w:val="21"/>
              </w:rPr>
              <w:t>质量达到GB/T1354-2018一级优质大米标准。须为1年内新粮大米，有产品检验合格证书，并标明生产日期、保质期或保存期、厂名、重量、厂址等。透明编织袋包装，每包25公斤或50公斤。具有固有的色泽和香味，没有霉变，无杂质，无虫蛀结块挂丝，米粒呈长椭圆形或细长形，颜色腊白透明，碎米粒、黄粒米不超过标准，距离保质期满须有2/3以上保质时间，必须符合《中华人民共和国食品安全法》等相关法律法规。</w:t>
            </w:r>
          </w:p>
        </w:tc>
        <w:tc>
          <w:tcPr>
            <w:tcW w:w="511" w:type="pct"/>
            <w:tcBorders>
              <w:top w:val="nil"/>
              <w:left w:val="nil"/>
              <w:bottom w:val="single" w:color="auto" w:sz="4" w:space="0"/>
              <w:right w:val="single" w:color="auto" w:sz="4" w:space="0"/>
            </w:tcBorders>
            <w:noWrap w:val="0"/>
            <w:vAlign w:val="center"/>
          </w:tcPr>
          <w:p w14:paraId="4AE7936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元/500克</w:t>
            </w:r>
          </w:p>
        </w:tc>
      </w:tr>
      <w:tr w14:paraId="36930FB1">
        <w:tblPrEx>
          <w:tblCellMar>
            <w:top w:w="0" w:type="dxa"/>
            <w:left w:w="108" w:type="dxa"/>
            <w:bottom w:w="0" w:type="dxa"/>
            <w:right w:w="108" w:type="dxa"/>
          </w:tblCellMar>
        </w:tblPrEx>
        <w:trPr>
          <w:trHeight w:val="23" w:hRule="atLeast"/>
          <w:jc w:val="center"/>
        </w:trPr>
        <w:tc>
          <w:tcPr>
            <w:tcW w:w="260" w:type="pct"/>
            <w:tcBorders>
              <w:top w:val="nil"/>
              <w:left w:val="single" w:color="auto" w:sz="4" w:space="0"/>
              <w:bottom w:val="single" w:color="auto" w:sz="4" w:space="0"/>
              <w:right w:val="single" w:color="auto" w:sz="4" w:space="0"/>
            </w:tcBorders>
            <w:noWrap w:val="0"/>
            <w:vAlign w:val="center"/>
          </w:tcPr>
          <w:p w14:paraId="3A5D90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23" w:type="pct"/>
            <w:tcBorders>
              <w:top w:val="nil"/>
              <w:left w:val="nil"/>
              <w:bottom w:val="single" w:color="auto" w:sz="4" w:space="0"/>
              <w:right w:val="single" w:color="auto" w:sz="4" w:space="0"/>
            </w:tcBorders>
            <w:noWrap w:val="0"/>
            <w:vAlign w:val="center"/>
          </w:tcPr>
          <w:p w14:paraId="6A7952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晚籼米</w:t>
            </w:r>
          </w:p>
        </w:tc>
        <w:tc>
          <w:tcPr>
            <w:tcW w:w="609" w:type="pct"/>
            <w:tcBorders>
              <w:top w:val="nil"/>
              <w:left w:val="nil"/>
              <w:bottom w:val="single" w:color="auto" w:sz="4" w:space="0"/>
              <w:right w:val="single" w:color="auto" w:sz="4" w:space="0"/>
            </w:tcBorders>
            <w:noWrap w:val="0"/>
            <w:vAlign w:val="center"/>
          </w:tcPr>
          <w:p w14:paraId="33DF3F1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一级及以上</w:t>
            </w:r>
          </w:p>
        </w:tc>
        <w:tc>
          <w:tcPr>
            <w:tcW w:w="2994" w:type="pct"/>
            <w:tcBorders>
              <w:top w:val="nil"/>
              <w:left w:val="nil"/>
              <w:bottom w:val="single" w:color="auto" w:sz="4" w:space="0"/>
              <w:right w:val="single" w:color="auto" w:sz="4" w:space="0"/>
            </w:tcBorders>
            <w:noWrap w:val="0"/>
            <w:vAlign w:val="center"/>
          </w:tcPr>
          <w:p w14:paraId="56D680C6">
            <w:pPr>
              <w:spacing w:line="360" w:lineRule="auto"/>
              <w:jc w:val="left"/>
              <w:rPr>
                <w:rFonts w:hint="eastAsia" w:ascii="宋体" w:hAnsi="宋体" w:eastAsia="宋体" w:cs="宋体"/>
                <w:sz w:val="21"/>
                <w:szCs w:val="21"/>
              </w:rPr>
            </w:pPr>
            <w:r>
              <w:rPr>
                <w:rFonts w:hint="eastAsia" w:ascii="宋体" w:hAnsi="宋体" w:eastAsia="宋体" w:cs="宋体"/>
                <w:sz w:val="21"/>
                <w:szCs w:val="21"/>
              </w:rPr>
              <w:t>质量达到GB/T1354-2018一级优质大米标准。须为1年内新粮大米，有产品检验合格证书，并标明生产日期、保质期或保存期、厂名、重量、厂址等。透明编织袋包装，每包25公斤或50公斤。具有固有的色泽和香味，没有霉变，无杂质，无虫蛀结块挂丝，米粒呈长椭圆形或细长形，颜色腊白透明，碎米粒、黄粒米不超过标准，距离保质期满须有2/3以上保质时间，必须符合《中华人民共和国食品安全法》等相关法律法规。</w:t>
            </w:r>
          </w:p>
        </w:tc>
        <w:tc>
          <w:tcPr>
            <w:tcW w:w="511" w:type="pct"/>
            <w:tcBorders>
              <w:top w:val="nil"/>
              <w:left w:val="nil"/>
              <w:bottom w:val="single" w:color="auto" w:sz="4" w:space="0"/>
              <w:right w:val="single" w:color="auto" w:sz="4" w:space="0"/>
            </w:tcBorders>
            <w:noWrap w:val="0"/>
            <w:vAlign w:val="center"/>
          </w:tcPr>
          <w:p w14:paraId="34D5B2F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元/500克</w:t>
            </w:r>
          </w:p>
        </w:tc>
      </w:tr>
      <w:tr w14:paraId="10504023">
        <w:tblPrEx>
          <w:tblCellMar>
            <w:top w:w="0" w:type="dxa"/>
            <w:left w:w="108" w:type="dxa"/>
            <w:bottom w:w="0" w:type="dxa"/>
            <w:right w:w="108" w:type="dxa"/>
          </w:tblCellMar>
        </w:tblPrEx>
        <w:trPr>
          <w:trHeight w:val="23" w:hRule="atLeast"/>
          <w:jc w:val="center"/>
        </w:trPr>
        <w:tc>
          <w:tcPr>
            <w:tcW w:w="260" w:type="pct"/>
            <w:tcBorders>
              <w:top w:val="nil"/>
              <w:left w:val="single" w:color="auto" w:sz="4" w:space="0"/>
              <w:bottom w:val="single" w:color="auto" w:sz="4" w:space="0"/>
              <w:right w:val="single" w:color="auto" w:sz="4" w:space="0"/>
            </w:tcBorders>
            <w:noWrap w:val="0"/>
            <w:vAlign w:val="center"/>
          </w:tcPr>
          <w:p w14:paraId="02D35343">
            <w:pPr>
              <w:spacing w:line="360" w:lineRule="auto"/>
              <w:jc w:val="center"/>
              <w:rPr>
                <w:rFonts w:hint="eastAsia" w:ascii="宋体" w:hAnsi="宋体" w:eastAsia="宋体" w:cs="宋体"/>
                <w:sz w:val="21"/>
                <w:szCs w:val="21"/>
              </w:rPr>
            </w:pPr>
            <w:bookmarkStart w:id="12" w:name="OLE_LINK287" w:colFirst="2" w:colLast="66"/>
            <w:bookmarkStart w:id="13" w:name="OLE_LINK288" w:colFirst="2" w:colLast="66"/>
            <w:bookmarkStart w:id="14" w:name="_Hlk187087701"/>
            <w:r>
              <w:rPr>
                <w:rFonts w:hint="eastAsia" w:ascii="宋体" w:hAnsi="宋体" w:eastAsia="宋体" w:cs="宋体"/>
                <w:sz w:val="21"/>
                <w:szCs w:val="21"/>
              </w:rPr>
              <w:t>3</w:t>
            </w:r>
          </w:p>
        </w:tc>
        <w:tc>
          <w:tcPr>
            <w:tcW w:w="623" w:type="pct"/>
            <w:tcBorders>
              <w:top w:val="nil"/>
              <w:left w:val="nil"/>
              <w:bottom w:val="single" w:color="auto" w:sz="4" w:space="0"/>
              <w:right w:val="single" w:color="auto" w:sz="4" w:space="0"/>
            </w:tcBorders>
            <w:noWrap w:val="0"/>
            <w:vAlign w:val="center"/>
          </w:tcPr>
          <w:p w14:paraId="699C01B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面粉</w:t>
            </w:r>
          </w:p>
        </w:tc>
        <w:tc>
          <w:tcPr>
            <w:tcW w:w="609" w:type="pct"/>
            <w:tcBorders>
              <w:top w:val="nil"/>
              <w:left w:val="nil"/>
              <w:bottom w:val="single" w:color="auto" w:sz="4" w:space="0"/>
              <w:right w:val="single" w:color="auto" w:sz="4" w:space="0"/>
            </w:tcBorders>
            <w:noWrap w:val="0"/>
            <w:vAlign w:val="center"/>
          </w:tcPr>
          <w:p w14:paraId="69BB150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高筋面粉</w:t>
            </w:r>
          </w:p>
        </w:tc>
        <w:tc>
          <w:tcPr>
            <w:tcW w:w="2994" w:type="pct"/>
            <w:tcBorders>
              <w:top w:val="nil"/>
              <w:left w:val="nil"/>
              <w:bottom w:val="single" w:color="auto" w:sz="4" w:space="0"/>
              <w:right w:val="single" w:color="auto" w:sz="4" w:space="0"/>
            </w:tcBorders>
            <w:noWrap w:val="0"/>
            <w:vAlign w:val="center"/>
          </w:tcPr>
          <w:p w14:paraId="7B740C06">
            <w:pPr>
              <w:spacing w:line="360" w:lineRule="auto"/>
              <w:jc w:val="left"/>
              <w:rPr>
                <w:rFonts w:hint="eastAsia" w:ascii="宋体" w:hAnsi="宋体" w:eastAsia="宋体" w:cs="宋体"/>
                <w:sz w:val="21"/>
                <w:szCs w:val="21"/>
              </w:rPr>
            </w:pPr>
            <w:r>
              <w:rPr>
                <w:rFonts w:hint="eastAsia" w:ascii="宋体" w:hAnsi="宋体" w:eastAsia="宋体" w:cs="宋体"/>
                <w:sz w:val="21"/>
                <w:szCs w:val="21"/>
              </w:rPr>
              <w:t>质量达到GB/T1355-2021一级标准。须为1年内的新麦面粉，具有产品检验合格证书，并标明生产日期、保质期或保存期、厂名、重量、厂址等。每包25公斤或50公斤，不得有变质、霉变、生虫、污秽不洁、混有异物或者其他感官性状异常，并可能对人体健康有害的物质。面粉不应加入增白剂；面粉颜色呈微黄或乳黄色，没有黑点；面粉闻起来要有麦香味，没有酸、霉等异味，距离保质期满须有2/3以上保质时间。</w:t>
            </w:r>
          </w:p>
        </w:tc>
        <w:tc>
          <w:tcPr>
            <w:tcW w:w="511" w:type="pct"/>
            <w:tcBorders>
              <w:top w:val="nil"/>
              <w:left w:val="nil"/>
              <w:bottom w:val="single" w:color="auto" w:sz="4" w:space="0"/>
              <w:right w:val="single" w:color="auto" w:sz="4" w:space="0"/>
            </w:tcBorders>
            <w:noWrap w:val="0"/>
            <w:vAlign w:val="center"/>
          </w:tcPr>
          <w:p w14:paraId="55D00A4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元/500克</w:t>
            </w:r>
          </w:p>
        </w:tc>
      </w:tr>
      <w:bookmarkEnd w:id="12"/>
      <w:bookmarkEnd w:id="13"/>
      <w:bookmarkEnd w:id="14"/>
      <w:tr w14:paraId="2D20F2DD">
        <w:tblPrEx>
          <w:tblCellMar>
            <w:top w:w="0" w:type="dxa"/>
            <w:left w:w="108" w:type="dxa"/>
            <w:bottom w:w="0" w:type="dxa"/>
            <w:right w:w="108" w:type="dxa"/>
          </w:tblCellMar>
        </w:tblPrEx>
        <w:trPr>
          <w:trHeight w:val="23" w:hRule="atLeast"/>
          <w:jc w:val="center"/>
        </w:trPr>
        <w:tc>
          <w:tcPr>
            <w:tcW w:w="260" w:type="pct"/>
            <w:tcBorders>
              <w:top w:val="nil"/>
              <w:left w:val="single" w:color="auto" w:sz="4" w:space="0"/>
              <w:bottom w:val="single" w:color="auto" w:sz="4" w:space="0"/>
              <w:right w:val="single" w:color="auto" w:sz="4" w:space="0"/>
            </w:tcBorders>
            <w:noWrap w:val="0"/>
            <w:vAlign w:val="center"/>
          </w:tcPr>
          <w:p w14:paraId="1245AA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623" w:type="pct"/>
            <w:tcBorders>
              <w:top w:val="nil"/>
              <w:left w:val="nil"/>
              <w:bottom w:val="single" w:color="auto" w:sz="4" w:space="0"/>
              <w:right w:val="single" w:color="auto" w:sz="4" w:space="0"/>
            </w:tcBorders>
            <w:noWrap w:val="0"/>
            <w:vAlign w:val="center"/>
          </w:tcPr>
          <w:p w14:paraId="7E2A12B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面粉</w:t>
            </w:r>
          </w:p>
        </w:tc>
        <w:tc>
          <w:tcPr>
            <w:tcW w:w="609" w:type="pct"/>
            <w:tcBorders>
              <w:top w:val="nil"/>
              <w:left w:val="nil"/>
              <w:bottom w:val="single" w:color="auto" w:sz="4" w:space="0"/>
              <w:right w:val="single" w:color="auto" w:sz="4" w:space="0"/>
            </w:tcBorders>
            <w:noWrap w:val="0"/>
            <w:vAlign w:val="center"/>
          </w:tcPr>
          <w:p w14:paraId="15CF085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低筋面粉</w:t>
            </w:r>
          </w:p>
        </w:tc>
        <w:tc>
          <w:tcPr>
            <w:tcW w:w="2994" w:type="pct"/>
            <w:tcBorders>
              <w:top w:val="nil"/>
              <w:left w:val="nil"/>
              <w:bottom w:val="single" w:color="auto" w:sz="4" w:space="0"/>
              <w:right w:val="single" w:color="auto" w:sz="4" w:space="0"/>
            </w:tcBorders>
            <w:noWrap w:val="0"/>
            <w:vAlign w:val="center"/>
          </w:tcPr>
          <w:p w14:paraId="648649E3">
            <w:pPr>
              <w:spacing w:line="360" w:lineRule="auto"/>
              <w:jc w:val="left"/>
              <w:rPr>
                <w:rFonts w:hint="eastAsia" w:ascii="宋体" w:hAnsi="宋体" w:eastAsia="宋体" w:cs="宋体"/>
                <w:sz w:val="21"/>
                <w:szCs w:val="21"/>
              </w:rPr>
            </w:pPr>
            <w:r>
              <w:rPr>
                <w:rFonts w:hint="eastAsia" w:ascii="宋体" w:hAnsi="宋体" w:eastAsia="宋体" w:cs="宋体"/>
                <w:sz w:val="21"/>
                <w:szCs w:val="21"/>
              </w:rPr>
              <w:t>质量达到GB/T1355-2021一级标准。须为1年内的新麦面粉，具有产品检验合格证书，并标明生产日期、保质期或保存期、厂名、重量、厂址等。每包25公斤或50公斤，不得有变质、霉变、生虫、污秽不洁、混有异物或者其他感官性状异常，并可能对人体健康有害的物质。面粉不应加入增白剂；面粉颜色呈微黄或乳黄色，没有黑点；面粉闻起来要有麦香味，没有酸、霉等异味，距离保质期满须有2/3以上保质时间。</w:t>
            </w:r>
          </w:p>
        </w:tc>
        <w:tc>
          <w:tcPr>
            <w:tcW w:w="511" w:type="pct"/>
            <w:tcBorders>
              <w:top w:val="nil"/>
              <w:left w:val="nil"/>
              <w:bottom w:val="single" w:color="auto" w:sz="4" w:space="0"/>
              <w:right w:val="single" w:color="auto" w:sz="4" w:space="0"/>
            </w:tcBorders>
            <w:noWrap w:val="0"/>
            <w:vAlign w:val="center"/>
          </w:tcPr>
          <w:p w14:paraId="0B30FE3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元/500克</w:t>
            </w:r>
          </w:p>
        </w:tc>
      </w:tr>
      <w:tr w14:paraId="763325DD">
        <w:tblPrEx>
          <w:tblCellMar>
            <w:top w:w="0" w:type="dxa"/>
            <w:left w:w="108" w:type="dxa"/>
            <w:bottom w:w="0" w:type="dxa"/>
            <w:right w:w="108" w:type="dxa"/>
          </w:tblCellMar>
        </w:tblPrEx>
        <w:trPr>
          <w:trHeight w:val="23" w:hRule="atLeast"/>
          <w:jc w:val="center"/>
        </w:trPr>
        <w:tc>
          <w:tcPr>
            <w:tcW w:w="260" w:type="pct"/>
            <w:tcBorders>
              <w:top w:val="single" w:color="auto" w:sz="4" w:space="0"/>
              <w:left w:val="single" w:color="auto" w:sz="4" w:space="0"/>
              <w:bottom w:val="single" w:color="auto" w:sz="4" w:space="0"/>
              <w:right w:val="single" w:color="auto" w:sz="4" w:space="0"/>
            </w:tcBorders>
            <w:noWrap w:val="0"/>
            <w:vAlign w:val="center"/>
          </w:tcPr>
          <w:p w14:paraId="097637A9">
            <w:pPr>
              <w:spacing w:line="360" w:lineRule="auto"/>
              <w:jc w:val="center"/>
              <w:rPr>
                <w:rFonts w:hint="eastAsia" w:ascii="宋体" w:hAnsi="宋体" w:eastAsia="宋体" w:cs="宋体"/>
                <w:sz w:val="21"/>
                <w:szCs w:val="21"/>
              </w:rPr>
            </w:pPr>
            <w:bookmarkStart w:id="15" w:name="OLE_LINK220" w:colFirst="1" w:colLast="67"/>
            <w:bookmarkStart w:id="16" w:name="OLE_LINK289" w:colFirst="2" w:colLast="66"/>
            <w:bookmarkStart w:id="17" w:name="_Hlk186719181"/>
            <w:bookmarkStart w:id="18" w:name="OLE_LINK219" w:colFirst="1" w:colLast="67"/>
            <w:bookmarkStart w:id="19" w:name="OLE_LINK290" w:colFirst="2" w:colLast="66"/>
            <w:r>
              <w:rPr>
                <w:rFonts w:hint="eastAsia" w:ascii="宋体" w:hAnsi="宋体" w:eastAsia="宋体" w:cs="宋体"/>
                <w:sz w:val="21"/>
                <w:szCs w:val="21"/>
              </w:rPr>
              <w:t>5</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18E975D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食用油</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59EC01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桶装一级</w:t>
            </w:r>
            <w:bookmarkStart w:id="20" w:name="OLE_LINK307"/>
            <w:bookmarkStart w:id="21" w:name="OLE_LINK308"/>
            <w:r>
              <w:rPr>
                <w:rFonts w:hint="eastAsia" w:ascii="宋体" w:hAnsi="宋体" w:eastAsia="宋体" w:cs="宋体"/>
                <w:sz w:val="21"/>
                <w:szCs w:val="21"/>
              </w:rPr>
              <w:t>及以上</w:t>
            </w:r>
            <w:bookmarkEnd w:id="20"/>
            <w:bookmarkEnd w:id="21"/>
            <w:r>
              <w:rPr>
                <w:rFonts w:hint="eastAsia" w:ascii="宋体" w:hAnsi="宋体" w:eastAsia="宋体" w:cs="宋体"/>
                <w:sz w:val="21"/>
                <w:szCs w:val="21"/>
              </w:rPr>
              <w:t>压榨</w:t>
            </w:r>
          </w:p>
        </w:tc>
        <w:tc>
          <w:tcPr>
            <w:tcW w:w="2994" w:type="pct"/>
            <w:tcBorders>
              <w:top w:val="single" w:color="auto" w:sz="4" w:space="0"/>
              <w:left w:val="single" w:color="auto" w:sz="4" w:space="0"/>
              <w:bottom w:val="single" w:color="auto" w:sz="4" w:space="0"/>
              <w:right w:val="single" w:color="auto" w:sz="4" w:space="0"/>
            </w:tcBorders>
            <w:noWrap w:val="0"/>
            <w:vAlign w:val="center"/>
          </w:tcPr>
          <w:p w14:paraId="0CDE820B">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质量达到GB/T1536-2021一级标准。外包装完好，具有产品检验合格证书，并标明品名、厂名、重量、生产日期、保质期或保存期、执行标准，具有产品合格证。具有正常植物油的色泽、透明度、气味和滋味，无焦臭、酸败及其他异味。气味、滋味：具有固有的气味和滋味，无异味。加热试验（280℃）油色不得变深，无析出杂物。国家一级标准非转基因食用油，距离保质期满须有2/3以上保质时间。参照品牌：金龙鱼或鲁花或福临门。</w:t>
            </w:r>
          </w:p>
        </w:tc>
        <w:tc>
          <w:tcPr>
            <w:tcW w:w="511" w:type="pct"/>
            <w:tcBorders>
              <w:top w:val="single" w:color="auto" w:sz="4" w:space="0"/>
              <w:left w:val="single" w:color="auto" w:sz="4" w:space="0"/>
              <w:bottom w:val="single" w:color="auto" w:sz="4" w:space="0"/>
              <w:right w:val="single" w:color="auto" w:sz="4" w:space="0"/>
            </w:tcBorders>
            <w:noWrap w:val="0"/>
            <w:vAlign w:val="center"/>
          </w:tcPr>
          <w:p w14:paraId="2AA700B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元/5升</w:t>
            </w:r>
          </w:p>
        </w:tc>
      </w:tr>
      <w:bookmarkEnd w:id="15"/>
      <w:bookmarkEnd w:id="16"/>
      <w:bookmarkEnd w:id="17"/>
      <w:bookmarkEnd w:id="18"/>
      <w:bookmarkEnd w:id="19"/>
    </w:tbl>
    <w:p w14:paraId="18CB8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lang w:val="en-US" w:eastAsia="zh-CN"/>
        </w:rPr>
      </w:pPr>
    </w:p>
    <w:p w14:paraId="6FFA64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2"/>
          <w:szCs w:val="22"/>
          <w:lang w:val="en-US" w:eastAsia="zh-CN"/>
        </w:rPr>
      </w:pPr>
      <w:r>
        <w:rPr>
          <w:rFonts w:hint="eastAsia" w:ascii="宋体" w:hAnsi="宋体" w:cs="宋体"/>
          <w:b/>
          <w:bCs/>
          <w:sz w:val="22"/>
          <w:szCs w:val="22"/>
          <w:lang w:eastAsia="zh-CN"/>
        </w:rPr>
        <w:t>（</w:t>
      </w:r>
      <w:r>
        <w:rPr>
          <w:rFonts w:hint="eastAsia" w:ascii="宋体" w:hAnsi="宋体" w:cs="宋体"/>
          <w:b/>
          <w:bCs/>
          <w:sz w:val="22"/>
          <w:szCs w:val="22"/>
          <w:lang w:val="en-US" w:eastAsia="zh-CN"/>
        </w:rPr>
        <w:t>三</w:t>
      </w:r>
      <w:r>
        <w:rPr>
          <w:rFonts w:hint="eastAsia" w:ascii="宋体" w:hAnsi="宋体" w:cs="宋体"/>
          <w:b/>
          <w:bCs/>
          <w:sz w:val="22"/>
          <w:szCs w:val="22"/>
          <w:lang w:eastAsia="zh-CN"/>
        </w:rPr>
        <w:t>）</w:t>
      </w:r>
      <w:r>
        <w:rPr>
          <w:rFonts w:hint="eastAsia" w:ascii="宋体" w:hAnsi="宋体" w:eastAsia="宋体" w:cs="宋体"/>
          <w:b/>
          <w:bCs/>
          <w:sz w:val="22"/>
          <w:szCs w:val="22"/>
          <w:lang w:val="en-US" w:eastAsia="zh-CN"/>
        </w:rPr>
        <w:t>供货价格及结算</w:t>
      </w:r>
    </w:p>
    <w:p w14:paraId="04B205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价格确定原则</w:t>
      </w:r>
    </w:p>
    <w:p w14:paraId="6F3398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1.1</w:t>
      </w:r>
      <w:r>
        <w:rPr>
          <w:rFonts w:hint="eastAsia" w:ascii="宋体" w:hAnsi="宋体" w:eastAsia="宋体" w:cs="宋体"/>
          <w:sz w:val="21"/>
          <w:szCs w:val="21"/>
          <w:lang w:eastAsia="zh-CN"/>
        </w:rPr>
        <w:t>中标供应商报给采购人配送食材的市场单价不得超过上饶市大型超市（如：嘉百乐、永盛、天虹）的均价，其报食材价格包含供应商的食品成本、配送费、食品安全检验费、食品安全责任风险费、利润及税金等一切可能发生的费用。</w:t>
      </w:r>
    </w:p>
    <w:p w14:paraId="03DB4B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1.2</w:t>
      </w:r>
      <w:r>
        <w:rPr>
          <w:rFonts w:hint="eastAsia" w:ascii="宋体" w:hAnsi="宋体" w:eastAsia="宋体" w:cs="宋体"/>
          <w:sz w:val="21"/>
          <w:szCs w:val="21"/>
          <w:lang w:eastAsia="zh-CN"/>
        </w:rPr>
        <w:t>结算价格 = 食材市场（上饶市大型超市）均价单价 × 中标折扣率 × 100%。采购人负责定期询价，以确认的超市均价为计算基准。</w:t>
      </w:r>
    </w:p>
    <w:p w14:paraId="76E830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价格调整机制</w:t>
      </w:r>
    </w:p>
    <w:p w14:paraId="0BD3DE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2.1</w:t>
      </w:r>
      <w:r>
        <w:rPr>
          <w:rFonts w:hint="eastAsia" w:ascii="宋体" w:hAnsi="宋体" w:eastAsia="宋体" w:cs="宋体"/>
          <w:sz w:val="21"/>
          <w:szCs w:val="21"/>
          <w:lang w:eastAsia="zh-CN"/>
        </w:rPr>
        <w:t>如生产商或批发商统一调整价格或新增食品，中标供应商须及时书面通知采购人并附相关资料。价格下调时，应给予采购人相同的价格下调幅度；价格上升时，须提供生产商或批发商调价通知书等书面证明材料原件，经采购人审核后方可执行新价格（按审核通过之日起执行）。</w:t>
      </w:r>
    </w:p>
    <w:p w14:paraId="758A27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2.2</w:t>
      </w:r>
      <w:r>
        <w:rPr>
          <w:rFonts w:hint="eastAsia" w:ascii="宋体" w:hAnsi="宋体" w:eastAsia="宋体" w:cs="宋体"/>
          <w:sz w:val="21"/>
          <w:szCs w:val="21"/>
          <w:lang w:eastAsia="zh-CN"/>
        </w:rPr>
        <w:t>合同服务期内，采购人或中标供应商发现某个/种食品价格波动超过5%的，可以申请或提出调整价格。中标供应商要求调整的，应出具相关价格波动的证明、调整的商品和供货价格，经采购人同意后方可调整；采购人要求中标供应商调整食品供货价格的，中标供应商必须按要求调整，采购人有权按照本项第1条方式进行询价，以经询价的超市销售该商品实际销售价格的均价乘以折扣率作为调整上限价格。</w:t>
      </w:r>
    </w:p>
    <w:p w14:paraId="32E5D4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价格监督与违约责任</w:t>
      </w:r>
    </w:p>
    <w:p w14:paraId="22AAFD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采购人有权随时抽查中标供应商的供货食品入货台账或进行市场调查，发现中标供应商有虚报或隐瞒供货食品市场价存在欺骗行为的，采购人有权单方终止合同，并要求中标供应商赔偿相应损失。</w:t>
      </w:r>
    </w:p>
    <w:p w14:paraId="0B3BD4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）配送、验收与出入库管理</w:t>
      </w:r>
    </w:p>
    <w:p w14:paraId="171060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配送要求</w:t>
      </w:r>
    </w:p>
    <w:p w14:paraId="2DF149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1.1</w:t>
      </w:r>
      <w:r>
        <w:rPr>
          <w:rFonts w:hint="eastAsia" w:ascii="宋体" w:hAnsi="宋体" w:eastAsia="宋体" w:cs="宋体"/>
          <w:sz w:val="21"/>
          <w:szCs w:val="21"/>
          <w:lang w:eastAsia="zh-CN"/>
        </w:rPr>
        <w:t>按采购人“半月报”配送数量，配送至采购人的具体时间和地点与采购人商定。货物在运输过程中有任何损坏、丢失由中标供应商负责。配送工作中要充分考虑运输途中的各种情况（如暴露于恶劣气候等）和上饶市的气候特点。</w:t>
      </w:r>
    </w:p>
    <w:p w14:paraId="2E6378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1.2</w:t>
      </w:r>
      <w:r>
        <w:rPr>
          <w:rFonts w:hint="eastAsia" w:ascii="宋体" w:hAnsi="宋体" w:eastAsia="宋体" w:cs="宋体"/>
          <w:sz w:val="21"/>
          <w:szCs w:val="21"/>
          <w:lang w:eastAsia="zh-CN"/>
        </w:rPr>
        <w:t>中标供应商配送车辆（自有或租赁均可）须配备厢式货车或封闭式货车不少于1辆，必须专车专用，车辆内外保持干净整洁，仅用于食品运输，杜绝与有毒、有害、有异味或易污染物品同时装运、混装配送，运输全过程符合食品卫生和安全标准。</w:t>
      </w:r>
    </w:p>
    <w:p w14:paraId="143C5D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1.3</w:t>
      </w:r>
      <w:r>
        <w:rPr>
          <w:rFonts w:hint="eastAsia" w:ascii="宋体" w:hAnsi="宋体" w:eastAsia="宋体" w:cs="宋体"/>
          <w:sz w:val="21"/>
          <w:szCs w:val="21"/>
          <w:lang w:eastAsia="zh-CN"/>
        </w:rPr>
        <w:t>中标供应商须制定车辆损坏、交通堵塞、恶劣天气等造成延误或中断的应急预案。</w:t>
      </w:r>
    </w:p>
    <w:p w14:paraId="6072F8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1.4</w:t>
      </w:r>
      <w:r>
        <w:rPr>
          <w:rFonts w:hint="eastAsia" w:ascii="宋体" w:hAnsi="宋体" w:eastAsia="宋体" w:cs="宋体"/>
          <w:sz w:val="21"/>
          <w:szCs w:val="21"/>
          <w:lang w:eastAsia="zh-CN"/>
        </w:rPr>
        <w:t>补货、退货、换货时间应在90分钟（含）内完成（不可抗力因素除外）。</w:t>
      </w:r>
    </w:p>
    <w:p w14:paraId="4B54CE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出入库管理</w:t>
      </w:r>
    </w:p>
    <w:p w14:paraId="7FAED6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企业必须建立食品出入库管理制度和收发登记制度，安排专人负责食品原料的验收、入库、留样、出库。严格执行《餐饮服务食品采购索证索票管理规定》，确保食品原料源头可控，落实索证索票制度有据可查。</w:t>
      </w:r>
    </w:p>
    <w:p w14:paraId="47DFDE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交接查验</w:t>
      </w:r>
    </w:p>
    <w:p w14:paraId="5ECC85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3.1</w:t>
      </w:r>
      <w:r>
        <w:rPr>
          <w:rFonts w:hint="eastAsia" w:ascii="宋体" w:hAnsi="宋体" w:eastAsia="宋体" w:cs="宋体"/>
          <w:sz w:val="21"/>
          <w:szCs w:val="21"/>
          <w:lang w:eastAsia="zh-CN"/>
        </w:rPr>
        <w:t>中标企业必须按照采购人的采购要求将食品运抵采购人指定地点并负责食品的装卸。每次配送食品时，必须向采购人提供该批次产品检验合格证。采购人验收时：</w:t>
      </w:r>
    </w:p>
    <w:p w14:paraId="2A6B67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一看食材质量合格证件，核对包装完整性，核对食材一致性，查看食材色泽、形态，确认食材是否有异味；</w:t>
      </w:r>
    </w:p>
    <w:p w14:paraId="22EA2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二看食材出厂时间和保质期；</w:t>
      </w:r>
    </w:p>
    <w:p w14:paraId="151282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三看食材的质量和数量是否与约定相符。</w:t>
      </w:r>
    </w:p>
    <w:p w14:paraId="133310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交接凭证</w:t>
      </w:r>
    </w:p>
    <w:p w14:paraId="469CE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每次配送食品开具三联单，单据上必须注明接收单位、时间、品种名称、数量、单价、小计、合计、目测食品描述和接交人（送货人、验收人签名）等。</w:t>
      </w:r>
    </w:p>
    <w:p w14:paraId="6DD5B7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 卫生维护</w:t>
      </w:r>
    </w:p>
    <w:p w14:paraId="0308B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中标供应商应建立完善的各种规章制度，要求定期对配送中心、所有设备、车辆进行定期清洗、消毒。</w:t>
      </w:r>
    </w:p>
    <w:p w14:paraId="68AE8C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 食材原料留样与抽检</w:t>
      </w:r>
    </w:p>
    <w:p w14:paraId="1F0686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对每批次配送的大宗食材须向接收方采购人提供留样封存（留样食材须与所送食材标准一致），留样封存时间自食材送达验收合格之时起不少于48小时，留样封存到期后中标供应商自行取回。采购人有权委托第三方检测机构对中标供应商提供的食材进行抽检，检测费用由中标供应商承担（每年至少抽检2次）。</w:t>
      </w:r>
    </w:p>
    <w:p w14:paraId="24C939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供应商主体责任与食品安全管理</w:t>
      </w:r>
    </w:p>
    <w:p w14:paraId="3868D5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法律法规与规范</w:t>
      </w:r>
    </w:p>
    <w:p w14:paraId="021A35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必须遵守《中华人民共和国食品安全法》《中华人民共和国食品安全法实施条例》、采购人的食品安全与营养健康管理规定、GB31654-2021《食品安全国家标准 餐饮服务通用卫生规范》以及国家最新标准。</w:t>
      </w:r>
    </w:p>
    <w:p w14:paraId="50BFB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主体责任总则</w:t>
      </w:r>
    </w:p>
    <w:p w14:paraId="266D96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2.1</w:t>
      </w:r>
      <w:r>
        <w:rPr>
          <w:rFonts w:hint="eastAsia" w:ascii="宋体" w:hAnsi="宋体" w:eastAsia="宋体" w:cs="宋体"/>
          <w:sz w:val="21"/>
          <w:szCs w:val="21"/>
          <w:lang w:eastAsia="zh-CN"/>
        </w:rPr>
        <w:t>中标供应商应当依照食品安全法律、法规等规定从事活动，保证食品卫生安全，守法经营，对采购人职工及患者负责，接受采购人职工、患者及家属和社会的监督，承担社会责任。</w:t>
      </w:r>
    </w:p>
    <w:p w14:paraId="77A18F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2.2</w:t>
      </w:r>
      <w:r>
        <w:rPr>
          <w:rFonts w:hint="eastAsia" w:ascii="宋体" w:hAnsi="宋体" w:eastAsia="宋体" w:cs="宋体"/>
          <w:sz w:val="21"/>
          <w:szCs w:val="21"/>
          <w:lang w:eastAsia="zh-CN"/>
        </w:rPr>
        <w:t>中标供应商应与采购人签订《食品安全责任书》，明确各自的食品安全责任。</w:t>
      </w:r>
    </w:p>
    <w:p w14:paraId="65D336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2.3</w:t>
      </w:r>
      <w:r>
        <w:rPr>
          <w:rFonts w:hint="eastAsia" w:ascii="宋体" w:hAnsi="宋体" w:eastAsia="宋体" w:cs="宋体"/>
          <w:sz w:val="21"/>
          <w:szCs w:val="21"/>
          <w:lang w:eastAsia="zh-CN"/>
        </w:rPr>
        <w:t>中标供应商应与采购人签订正式合同，约定配送内容（质量、数量、价格等）、配送服务考核办法，明确各自的权利和义务，存档备查。</w:t>
      </w:r>
    </w:p>
    <w:p w14:paraId="0DA3A5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人员管理</w:t>
      </w:r>
    </w:p>
    <w:p w14:paraId="769203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3.1</w:t>
      </w:r>
      <w:r>
        <w:rPr>
          <w:rFonts w:hint="eastAsia" w:ascii="宋体" w:hAnsi="宋体" w:eastAsia="宋体" w:cs="宋体"/>
          <w:sz w:val="21"/>
          <w:szCs w:val="21"/>
          <w:lang w:eastAsia="zh-CN"/>
        </w:rPr>
        <w:t>中标供应商配备的车辆驾驶员应持有与所驾驶车型相适应的驾驶证。所聘人员月工资不得低于当地最低工资标准。所有从业人员必须持有效《健康证》上岗，从业人员每日进行晨检，每天做好工作记录。中标供应商承担合同履行期限中发生的一切劳务纠纷和人身安全责任。</w:t>
      </w:r>
    </w:p>
    <w:p w14:paraId="071C7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3.2</w:t>
      </w:r>
      <w:r>
        <w:rPr>
          <w:rFonts w:hint="eastAsia" w:ascii="宋体" w:hAnsi="宋体" w:eastAsia="宋体" w:cs="宋体"/>
          <w:sz w:val="21"/>
          <w:szCs w:val="21"/>
          <w:lang w:eastAsia="zh-CN"/>
        </w:rPr>
        <w:t>中标供应商应建立从业人员健康管理、食品安全自查、食品进货查验记录、原料质量控制、配送时效管理、食品安全应急预案及事故处置、文件管理等制度。</w:t>
      </w:r>
    </w:p>
    <w:p w14:paraId="5826B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3.3</w:t>
      </w:r>
      <w:r>
        <w:rPr>
          <w:rFonts w:hint="eastAsia" w:ascii="宋体" w:hAnsi="宋体" w:eastAsia="宋体" w:cs="宋体"/>
          <w:sz w:val="21"/>
          <w:szCs w:val="21"/>
          <w:lang w:eastAsia="zh-CN"/>
        </w:rPr>
        <w:t>配送人员名单须在配送前送采购人审查备案，没有备案人员不得送货。 送货人员应遵守采购人的食品安全管理规定，未经允许不得擅自进入食堂、仓库、操作间等区域。不得夹带违禁品进入食堂、不得擅自将食堂物品带出。一经发现，立即取消该人员的配送资格；若因该行为需扣款，按本合同第六章考核办法执行（即通过考核得分扣减货款），不再单独设置扣款罚则。</w:t>
      </w:r>
    </w:p>
    <w:p w14:paraId="24975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仓储配送中心场所要求</w:t>
      </w:r>
    </w:p>
    <w:p w14:paraId="661B4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自有或租赁）的仓储配送场地要符合食品安全条件的场所，普通仓储库房面积不少于100㎡。仓储配送中心选址应充分考虑周边环境对食品卫生的影响，应选择与经营的餐食相适应的场所，保持场所环境清洁。不得选择易受到污染的区域，应远离粪坑、污水池、暴露垃圾场（站），并位于粉尘、有害气体、放射性物质和其他扩散性污染源的影响范围外。</w:t>
      </w:r>
    </w:p>
    <w:p w14:paraId="4A112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 食品安全管理具体制度</w:t>
      </w:r>
    </w:p>
    <w:p w14:paraId="5E14F6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5.1</w:t>
      </w:r>
      <w:r>
        <w:rPr>
          <w:rFonts w:hint="eastAsia" w:ascii="宋体" w:hAnsi="宋体" w:eastAsia="宋体" w:cs="宋体"/>
          <w:sz w:val="21"/>
          <w:szCs w:val="21"/>
          <w:lang w:eastAsia="zh-CN"/>
        </w:rPr>
        <w:t>食品安全自查：中标供应商应每月开展至少1次自查，全面分析食材配送过程中的食品安全危害因素和风险点，确定食品安全自查项目和要求，建立自查清单，制定自查计划。根据食品安全法律、法规，自行或者委托第三方专业机构开展食品安全制度自查和专项自查，及时发现并消除食品安全隐患，防止发生食品安全事故。</w:t>
      </w:r>
    </w:p>
    <w:p w14:paraId="1C4B93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5.2</w:t>
      </w:r>
      <w:r>
        <w:rPr>
          <w:rFonts w:hint="eastAsia" w:ascii="宋体" w:hAnsi="宋体" w:eastAsia="宋体" w:cs="宋体"/>
          <w:sz w:val="21"/>
          <w:szCs w:val="21"/>
          <w:lang w:eastAsia="zh-CN"/>
        </w:rPr>
        <w:t>食品安全追溯：中标供应商应建立食品安全追溯体系，制定并实施覆盖原料采购、运输等环节的追溯制度。由专人负责记录并保存原料采购、查验、出入库等凭证或交易信息，保证食品原料和成品的可追溯，资料保存不少于3年。</w:t>
      </w:r>
    </w:p>
    <w:p w14:paraId="0ED0F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5.3</w:t>
      </w:r>
      <w:r>
        <w:rPr>
          <w:rFonts w:hint="eastAsia" w:ascii="宋体" w:hAnsi="宋体" w:eastAsia="宋体" w:cs="宋体"/>
          <w:sz w:val="21"/>
          <w:szCs w:val="21"/>
          <w:lang w:eastAsia="zh-CN"/>
        </w:rPr>
        <w:t>信息公开：</w:t>
      </w:r>
    </w:p>
    <w:p w14:paraId="3D1D17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应设置信息公示栏，将营业执照、食品经营许可证（是生产厂商的须要生产经营许可证）、食品安全责任书和自我承诺书、从业人员健康证明、日常监督检查结果记录表、投诉举报电话公示在醒目位置。</w:t>
      </w:r>
    </w:p>
    <w:p w14:paraId="1EEDB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中标供应商应提前将每批食品原料的合格证明文件、检测报告等相关信息留存电子档，食材配送时把电子档一并推送至采购人。</w:t>
      </w:r>
    </w:p>
    <w:p w14:paraId="0065E3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5.4</w:t>
      </w:r>
      <w:r>
        <w:rPr>
          <w:rFonts w:hint="eastAsia" w:ascii="宋体" w:hAnsi="宋体" w:eastAsia="宋体" w:cs="宋体"/>
          <w:sz w:val="21"/>
          <w:szCs w:val="21"/>
          <w:lang w:eastAsia="zh-CN"/>
        </w:rPr>
        <w:t>视频监控：仓储进出口区域、食品储存区域、检测室等功能区必须安装视频监控，实行全过程实时视频监控，视频保存30天以上。</w:t>
      </w:r>
    </w:p>
    <w:p w14:paraId="04E52D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5.5</w:t>
      </w:r>
      <w:r>
        <w:rPr>
          <w:rFonts w:hint="eastAsia" w:ascii="宋体" w:hAnsi="宋体" w:eastAsia="宋体" w:cs="宋体"/>
          <w:sz w:val="21"/>
          <w:szCs w:val="21"/>
          <w:lang w:eastAsia="zh-CN"/>
        </w:rPr>
        <w:t>食品卫生安全：中标供应商须配备食品安全员，做到专人负责食品质量及安全，食品安全责任由中标供应商负责，采购人有权对中标供应商进行监督和随机抽查食品的卫生安全情况。</w:t>
      </w:r>
    </w:p>
    <w:p w14:paraId="07E8F3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 食品安全事故处置</w:t>
      </w:r>
    </w:p>
    <w:p w14:paraId="386BB1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6.1</w:t>
      </w:r>
      <w:r>
        <w:rPr>
          <w:rFonts w:hint="eastAsia" w:ascii="宋体" w:hAnsi="宋体" w:eastAsia="宋体" w:cs="宋体"/>
          <w:sz w:val="21"/>
          <w:szCs w:val="21"/>
          <w:lang w:eastAsia="zh-CN"/>
        </w:rPr>
        <w:t>中标供应商应联合采购人设立应急管理领导小组，制定应急预案。食品安全事故发生后，应立即封存导致或者可能导致食品安全事故的食品及原料、工具、设备、设施等，启动食品安全责任保险理赔程序。</w:t>
      </w:r>
    </w:p>
    <w:p w14:paraId="78FCF7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6.2</w:t>
      </w:r>
      <w:r>
        <w:rPr>
          <w:rFonts w:hint="eastAsia" w:ascii="宋体" w:hAnsi="宋体" w:eastAsia="宋体" w:cs="宋体"/>
          <w:sz w:val="21"/>
          <w:szCs w:val="21"/>
          <w:lang w:eastAsia="zh-CN"/>
        </w:rPr>
        <w:t>中标供应商发现其配送的食品属于不安全食品的，应立即停止配送，及时告知采购人停止食用，同时告知市场监督部门并按照国家相关规定立即启动食品召回程序。</w:t>
      </w:r>
    </w:p>
    <w:p w14:paraId="502D79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6.3</w:t>
      </w:r>
      <w:r>
        <w:rPr>
          <w:rFonts w:hint="eastAsia" w:ascii="宋体" w:hAnsi="宋体" w:eastAsia="宋体" w:cs="宋体"/>
          <w:sz w:val="21"/>
          <w:szCs w:val="21"/>
          <w:lang w:eastAsia="zh-CN"/>
        </w:rPr>
        <w:t>中标供应商发现有食品安全事故潜在风险或发生食品安全事故的，应按规定向相关部门报告，并做好相关记录。采购人将视情况，若属中标供应商责任的，采购人有权终止合同并追究其责任。</w:t>
      </w:r>
    </w:p>
    <w:p w14:paraId="493CB9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6.4</w:t>
      </w:r>
      <w:r>
        <w:rPr>
          <w:rFonts w:hint="eastAsia" w:ascii="宋体" w:hAnsi="宋体" w:eastAsia="宋体" w:cs="宋体"/>
          <w:sz w:val="21"/>
          <w:szCs w:val="21"/>
          <w:lang w:eastAsia="zh-CN"/>
        </w:rPr>
        <w:t>采购人或有关部门在检查中发现中标供应商的食材有食品安全等问题的，采购人有权终止合同并追究其责任。</w:t>
      </w:r>
    </w:p>
    <w:p w14:paraId="41BAF9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 监督评价与持续改进</w:t>
      </w:r>
    </w:p>
    <w:p w14:paraId="5BAA9E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w:t>
      </w:r>
      <w:r>
        <w:rPr>
          <w:rFonts w:hint="eastAsia" w:ascii="宋体" w:hAnsi="宋体" w:cs="宋体"/>
          <w:sz w:val="21"/>
          <w:szCs w:val="21"/>
          <w:lang w:val="en-US" w:eastAsia="zh-CN"/>
        </w:rPr>
        <w:t>1</w:t>
      </w:r>
      <w:r>
        <w:rPr>
          <w:rFonts w:hint="eastAsia" w:ascii="宋体" w:hAnsi="宋体" w:eastAsia="宋体" w:cs="宋体"/>
          <w:sz w:val="21"/>
          <w:szCs w:val="21"/>
          <w:lang w:eastAsia="zh-CN"/>
        </w:rPr>
        <w:t>中标供应商应配合采购人、食品安全监督管理部门、卫生健康等部门开展的抽查或专项检查。</w:t>
      </w:r>
    </w:p>
    <w:p w14:paraId="7C9D23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w:t>
      </w:r>
      <w:r>
        <w:rPr>
          <w:rFonts w:hint="eastAsia" w:ascii="宋体" w:hAnsi="宋体" w:cs="宋体"/>
          <w:sz w:val="21"/>
          <w:szCs w:val="21"/>
          <w:lang w:val="en-US" w:eastAsia="zh-CN"/>
        </w:rPr>
        <w:t>2</w:t>
      </w:r>
      <w:r>
        <w:rPr>
          <w:rFonts w:hint="eastAsia" w:ascii="宋体" w:hAnsi="宋体" w:eastAsia="宋体" w:cs="宋体"/>
          <w:sz w:val="21"/>
          <w:szCs w:val="21"/>
          <w:lang w:eastAsia="zh-CN"/>
        </w:rPr>
        <w:t>中标供应商应定期对原料品质、食品储存环境、出入库管理、配送车辆卫生、人员卫生、配送过程、配送管理等项目进行自评，或委托专业机构开展第三方评价，发现问题及时整改。</w:t>
      </w:r>
    </w:p>
    <w:p w14:paraId="5508A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w:t>
      </w:r>
      <w:r>
        <w:rPr>
          <w:rFonts w:hint="eastAsia" w:ascii="宋体" w:hAnsi="宋体" w:cs="宋体"/>
          <w:sz w:val="21"/>
          <w:szCs w:val="21"/>
          <w:lang w:val="en-US" w:eastAsia="zh-CN"/>
        </w:rPr>
        <w:t>3</w:t>
      </w:r>
      <w:r>
        <w:rPr>
          <w:rFonts w:hint="eastAsia" w:ascii="宋体" w:hAnsi="宋体" w:eastAsia="宋体" w:cs="宋体"/>
          <w:sz w:val="21"/>
          <w:szCs w:val="21"/>
          <w:lang w:eastAsia="zh-CN"/>
        </w:rPr>
        <w:t>中标供应商应建立服务质量评价机制。采购人定期对配送服务质量进行评价，获取相关方的意见和建议并及时处理；根据配送需求等，不断改进管理方法和完善技术手段，实现持续改进。</w:t>
      </w:r>
    </w:p>
    <w:p w14:paraId="7F16C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考核办法</w:t>
      </w:r>
    </w:p>
    <w:p w14:paraId="233A3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合同期内，由采购人考核小组对中标供应商食材配送服务进行满意度综合评价考核（每年不少于2次） ，以采购人考核小组考核平均分作为中标供应商的最终考核得分。</w:t>
      </w:r>
    </w:p>
    <w:tbl>
      <w:tblPr>
        <w:tblStyle w:val="9"/>
        <w:tblW w:w="0" w:type="auto"/>
        <w:tblInd w:w="1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1"/>
        <w:gridCol w:w="3061"/>
      </w:tblGrid>
      <w:tr w14:paraId="61E2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0366146A">
            <w:pPr>
              <w:pStyle w:val="7"/>
              <w:ind w:left="0" w:leftChars="0" w:firstLine="0" w:firstLineChars="0"/>
              <w:jc w:val="center"/>
              <w:rPr>
                <w:rFonts w:hint="eastAsia"/>
                <w:sz w:val="22"/>
                <w:szCs w:val="18"/>
                <w:highlight w:val="none"/>
                <w:vertAlign w:val="baseline"/>
                <w:lang w:eastAsia="zh-CN"/>
              </w:rPr>
            </w:pPr>
            <w:r>
              <w:rPr>
                <w:rFonts w:hint="eastAsia"/>
                <w:sz w:val="22"/>
                <w:szCs w:val="18"/>
                <w:highlight w:val="none"/>
                <w:vertAlign w:val="baseline"/>
                <w:lang w:eastAsia="zh-CN"/>
              </w:rPr>
              <w:t>考核情况</w:t>
            </w:r>
          </w:p>
        </w:tc>
        <w:tc>
          <w:tcPr>
            <w:tcW w:w="3061" w:type="dxa"/>
            <w:vAlign w:val="center"/>
          </w:tcPr>
          <w:p w14:paraId="3F119C9D">
            <w:pPr>
              <w:pStyle w:val="7"/>
              <w:ind w:left="0" w:leftChars="0" w:firstLine="0" w:firstLineChars="0"/>
              <w:jc w:val="center"/>
              <w:rPr>
                <w:rFonts w:hint="eastAsia"/>
                <w:sz w:val="22"/>
                <w:szCs w:val="18"/>
                <w:highlight w:val="none"/>
                <w:vertAlign w:val="baseline"/>
                <w:lang w:eastAsia="zh-CN"/>
              </w:rPr>
            </w:pPr>
            <w:r>
              <w:rPr>
                <w:rFonts w:hint="eastAsia"/>
                <w:sz w:val="22"/>
                <w:szCs w:val="18"/>
                <w:highlight w:val="none"/>
                <w:vertAlign w:val="baseline"/>
                <w:lang w:eastAsia="zh-CN"/>
              </w:rPr>
              <w:t>处理措施</w:t>
            </w:r>
          </w:p>
        </w:tc>
      </w:tr>
      <w:tr w14:paraId="1F26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3A1472BC">
            <w:pPr>
              <w:pStyle w:val="7"/>
              <w:ind w:left="0" w:leftChars="0" w:firstLine="0" w:firstLineChars="0"/>
              <w:jc w:val="center"/>
              <w:rPr>
                <w:rFonts w:hint="eastAsia"/>
                <w:sz w:val="22"/>
                <w:szCs w:val="18"/>
                <w:vertAlign w:val="baseline"/>
                <w:lang w:eastAsia="zh-CN"/>
              </w:rPr>
            </w:pPr>
            <w:r>
              <w:rPr>
                <w:rFonts w:hint="eastAsia"/>
                <w:sz w:val="22"/>
                <w:szCs w:val="18"/>
                <w:vertAlign w:val="baseline"/>
                <w:lang w:eastAsia="zh-CN"/>
              </w:rPr>
              <w:t>第一次得分低于85分</w:t>
            </w:r>
          </w:p>
        </w:tc>
        <w:tc>
          <w:tcPr>
            <w:tcW w:w="3061" w:type="dxa"/>
            <w:vAlign w:val="center"/>
          </w:tcPr>
          <w:p w14:paraId="33AB0F5A">
            <w:pPr>
              <w:pStyle w:val="7"/>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扣除当月货款的</w:t>
            </w:r>
            <w:r>
              <w:rPr>
                <w:rFonts w:hint="eastAsia"/>
                <w:sz w:val="22"/>
                <w:szCs w:val="18"/>
                <w:vertAlign w:val="baseline"/>
                <w:lang w:val="en-US" w:eastAsia="zh-CN"/>
              </w:rPr>
              <w:t>5</w:t>
            </w:r>
            <w:r>
              <w:rPr>
                <w:rFonts w:hint="eastAsia"/>
                <w:sz w:val="22"/>
                <w:szCs w:val="18"/>
                <w:vertAlign w:val="baseline"/>
                <w:lang w:eastAsia="zh-CN"/>
              </w:rPr>
              <w:t>%</w:t>
            </w:r>
          </w:p>
        </w:tc>
      </w:tr>
      <w:tr w14:paraId="34C4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77994372">
            <w:pPr>
              <w:pStyle w:val="7"/>
              <w:ind w:left="0" w:leftChars="0" w:firstLine="0" w:firstLineChars="0"/>
              <w:jc w:val="center"/>
              <w:rPr>
                <w:rFonts w:hint="eastAsia"/>
                <w:sz w:val="22"/>
                <w:szCs w:val="18"/>
                <w:vertAlign w:val="baseline"/>
                <w:lang w:eastAsia="zh-CN"/>
              </w:rPr>
            </w:pPr>
            <w:r>
              <w:rPr>
                <w:rFonts w:hint="eastAsia"/>
                <w:sz w:val="22"/>
                <w:szCs w:val="18"/>
                <w:vertAlign w:val="baseline"/>
                <w:lang w:eastAsia="zh-CN"/>
              </w:rPr>
              <w:t>第</w:t>
            </w:r>
            <w:r>
              <w:rPr>
                <w:rFonts w:hint="eastAsia"/>
                <w:sz w:val="22"/>
                <w:szCs w:val="18"/>
                <w:vertAlign w:val="baseline"/>
                <w:lang w:val="en-US" w:eastAsia="zh-CN"/>
              </w:rPr>
              <w:t>二</w:t>
            </w:r>
            <w:r>
              <w:rPr>
                <w:rFonts w:hint="eastAsia"/>
                <w:sz w:val="22"/>
                <w:szCs w:val="18"/>
                <w:vertAlign w:val="baseline"/>
                <w:lang w:eastAsia="zh-CN"/>
              </w:rPr>
              <w:t>次得分低于85分</w:t>
            </w:r>
          </w:p>
        </w:tc>
        <w:tc>
          <w:tcPr>
            <w:tcW w:w="3061" w:type="dxa"/>
            <w:vAlign w:val="center"/>
          </w:tcPr>
          <w:p w14:paraId="616A1976">
            <w:pPr>
              <w:pStyle w:val="7"/>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扣除当月货款的1</w:t>
            </w:r>
            <w:r>
              <w:rPr>
                <w:rFonts w:hint="eastAsia"/>
                <w:sz w:val="22"/>
                <w:szCs w:val="18"/>
                <w:vertAlign w:val="baseline"/>
                <w:lang w:val="en-US" w:eastAsia="zh-CN"/>
              </w:rPr>
              <w:t>0</w:t>
            </w:r>
            <w:r>
              <w:rPr>
                <w:rFonts w:hint="eastAsia"/>
                <w:sz w:val="22"/>
                <w:szCs w:val="18"/>
                <w:vertAlign w:val="baseline"/>
                <w:lang w:eastAsia="zh-CN"/>
              </w:rPr>
              <w:t>%</w:t>
            </w:r>
          </w:p>
        </w:tc>
      </w:tr>
      <w:tr w14:paraId="0732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32A17B98">
            <w:pPr>
              <w:pStyle w:val="7"/>
              <w:ind w:left="0" w:leftChars="0" w:firstLine="0" w:firstLineChars="0"/>
              <w:jc w:val="center"/>
              <w:rPr>
                <w:rFonts w:hint="eastAsia"/>
                <w:sz w:val="22"/>
                <w:szCs w:val="18"/>
                <w:vertAlign w:val="baseline"/>
                <w:lang w:eastAsia="zh-CN"/>
              </w:rPr>
            </w:pPr>
            <w:r>
              <w:rPr>
                <w:rFonts w:hint="eastAsia"/>
                <w:sz w:val="22"/>
                <w:szCs w:val="18"/>
                <w:vertAlign w:val="baseline"/>
                <w:lang w:eastAsia="zh-CN"/>
              </w:rPr>
              <w:t>连续2次考核得分低于85分</w:t>
            </w:r>
          </w:p>
        </w:tc>
        <w:tc>
          <w:tcPr>
            <w:tcW w:w="3061" w:type="dxa"/>
            <w:vAlign w:val="center"/>
          </w:tcPr>
          <w:p w14:paraId="62BC65CA">
            <w:pPr>
              <w:pStyle w:val="7"/>
              <w:ind w:left="0" w:leftChars="0" w:firstLine="0" w:firstLineChars="0"/>
              <w:jc w:val="center"/>
              <w:rPr>
                <w:rFonts w:hint="eastAsia"/>
                <w:sz w:val="22"/>
                <w:szCs w:val="18"/>
                <w:vertAlign w:val="baseline"/>
                <w:lang w:eastAsia="zh-CN"/>
              </w:rPr>
            </w:pPr>
            <w:r>
              <w:rPr>
                <w:rFonts w:hint="eastAsia"/>
                <w:sz w:val="22"/>
                <w:szCs w:val="18"/>
                <w:vertAlign w:val="baseline"/>
                <w:lang w:eastAsia="zh-CN"/>
              </w:rPr>
              <w:t>采购人对中标供应商进行约谈，中标供应商须及时整改</w:t>
            </w:r>
          </w:p>
        </w:tc>
      </w:tr>
      <w:tr w14:paraId="59A9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28CB6F3E">
            <w:pPr>
              <w:pStyle w:val="7"/>
              <w:ind w:left="0" w:leftChars="0" w:firstLine="0" w:firstLineChars="0"/>
              <w:jc w:val="center"/>
              <w:rPr>
                <w:rFonts w:hint="eastAsia"/>
                <w:sz w:val="22"/>
                <w:szCs w:val="18"/>
                <w:vertAlign w:val="baseline"/>
                <w:lang w:eastAsia="zh-CN"/>
              </w:rPr>
            </w:pPr>
            <w:r>
              <w:rPr>
                <w:rFonts w:hint="eastAsia"/>
                <w:sz w:val="22"/>
                <w:szCs w:val="18"/>
                <w:vertAlign w:val="baseline"/>
                <w:lang w:eastAsia="zh-CN"/>
              </w:rPr>
              <w:t>第三次考核（整改后）仍低于85分</w:t>
            </w:r>
          </w:p>
        </w:tc>
        <w:tc>
          <w:tcPr>
            <w:tcW w:w="3061" w:type="dxa"/>
            <w:vAlign w:val="center"/>
          </w:tcPr>
          <w:p w14:paraId="5AB390EC">
            <w:pPr>
              <w:pStyle w:val="7"/>
              <w:ind w:left="0" w:leftChars="0" w:firstLine="0" w:firstLineChars="0"/>
              <w:jc w:val="center"/>
              <w:rPr>
                <w:rFonts w:hint="eastAsia"/>
                <w:sz w:val="22"/>
                <w:szCs w:val="18"/>
                <w:vertAlign w:val="baseline"/>
                <w:lang w:eastAsia="zh-CN"/>
              </w:rPr>
            </w:pPr>
            <w:r>
              <w:rPr>
                <w:rFonts w:hint="eastAsia"/>
                <w:sz w:val="22"/>
                <w:szCs w:val="18"/>
                <w:vertAlign w:val="baseline"/>
                <w:lang w:eastAsia="zh-CN"/>
              </w:rPr>
              <w:t>终止合同，并追究违约责任</w:t>
            </w:r>
          </w:p>
        </w:tc>
      </w:tr>
    </w:tbl>
    <w:p w14:paraId="35B6C8B4">
      <w:pPr>
        <w:pStyle w:val="7"/>
        <w:rPr>
          <w:rFonts w:hint="eastAsia"/>
          <w:lang w:eastAsia="zh-CN"/>
        </w:rPr>
      </w:pPr>
      <w:r>
        <w:rPr>
          <w:rFonts w:hint="eastAsia"/>
          <w:lang w:eastAsia="zh-CN"/>
        </w:rPr>
        <w:t>考核细则表（总分100分）</w:t>
      </w:r>
    </w:p>
    <w:tbl>
      <w:tblPr>
        <w:tblStyle w:val="8"/>
        <w:tblW w:w="4997" w:type="pct"/>
        <w:tblInd w:w="0" w:type="dxa"/>
        <w:tblLayout w:type="autofit"/>
        <w:tblCellMar>
          <w:top w:w="0" w:type="dxa"/>
          <w:left w:w="108" w:type="dxa"/>
          <w:bottom w:w="0" w:type="dxa"/>
          <w:right w:w="108" w:type="dxa"/>
        </w:tblCellMar>
      </w:tblPr>
      <w:tblGrid>
        <w:gridCol w:w="659"/>
        <w:gridCol w:w="3495"/>
        <w:gridCol w:w="703"/>
        <w:gridCol w:w="1929"/>
        <w:gridCol w:w="1303"/>
        <w:gridCol w:w="788"/>
      </w:tblGrid>
      <w:tr w14:paraId="412AABDF">
        <w:tblPrEx>
          <w:tblCellMar>
            <w:top w:w="0" w:type="dxa"/>
            <w:left w:w="108" w:type="dxa"/>
            <w:bottom w:w="0" w:type="dxa"/>
            <w:right w:w="108" w:type="dxa"/>
          </w:tblCellMar>
        </w:tblPrEx>
        <w:trPr>
          <w:trHeight w:val="270"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5622EEB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968" w:type="pct"/>
            <w:tcBorders>
              <w:top w:val="single" w:color="auto" w:sz="4" w:space="0"/>
              <w:left w:val="nil"/>
              <w:bottom w:val="single" w:color="auto" w:sz="4" w:space="0"/>
              <w:right w:val="single" w:color="auto" w:sz="4" w:space="0"/>
            </w:tcBorders>
            <w:noWrap w:val="0"/>
            <w:vAlign w:val="center"/>
          </w:tcPr>
          <w:p w14:paraId="29DC3CF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考核内容及细则</w:t>
            </w:r>
          </w:p>
        </w:tc>
        <w:tc>
          <w:tcPr>
            <w:tcW w:w="396" w:type="pct"/>
            <w:tcBorders>
              <w:top w:val="single" w:color="auto" w:sz="4" w:space="0"/>
              <w:left w:val="nil"/>
              <w:bottom w:val="single" w:color="auto" w:sz="4" w:space="0"/>
              <w:right w:val="single" w:color="auto" w:sz="4" w:space="0"/>
            </w:tcBorders>
            <w:noWrap w:val="0"/>
            <w:vAlign w:val="center"/>
          </w:tcPr>
          <w:p w14:paraId="410C4C1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1086" w:type="pct"/>
            <w:tcBorders>
              <w:top w:val="single" w:color="auto" w:sz="4" w:space="0"/>
              <w:left w:val="nil"/>
              <w:bottom w:val="single" w:color="auto" w:sz="4" w:space="0"/>
              <w:right w:val="single" w:color="auto" w:sz="4" w:space="0"/>
            </w:tcBorders>
            <w:noWrap w:val="0"/>
            <w:vAlign w:val="center"/>
          </w:tcPr>
          <w:p w14:paraId="551C8D3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考核标准</w:t>
            </w:r>
          </w:p>
        </w:tc>
        <w:tc>
          <w:tcPr>
            <w:tcW w:w="734" w:type="pct"/>
            <w:tcBorders>
              <w:top w:val="single" w:color="auto" w:sz="4" w:space="0"/>
              <w:left w:val="nil"/>
              <w:bottom w:val="single" w:color="auto" w:sz="4" w:space="0"/>
              <w:right w:val="single" w:color="auto" w:sz="4" w:space="0"/>
            </w:tcBorders>
            <w:noWrap w:val="0"/>
            <w:vAlign w:val="center"/>
          </w:tcPr>
          <w:p w14:paraId="3A74A39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考核情况</w:t>
            </w:r>
          </w:p>
        </w:tc>
        <w:tc>
          <w:tcPr>
            <w:tcW w:w="442" w:type="pct"/>
            <w:tcBorders>
              <w:top w:val="single" w:color="auto" w:sz="4" w:space="0"/>
              <w:left w:val="nil"/>
              <w:bottom w:val="single" w:color="auto" w:sz="4" w:space="0"/>
              <w:right w:val="single" w:color="auto" w:sz="4" w:space="0"/>
            </w:tcBorders>
            <w:noWrap w:val="0"/>
            <w:vAlign w:val="center"/>
          </w:tcPr>
          <w:p w14:paraId="73BAD700">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得分</w:t>
            </w:r>
          </w:p>
        </w:tc>
      </w:tr>
      <w:tr w14:paraId="6F5C8222">
        <w:tblPrEx>
          <w:tblCellMar>
            <w:top w:w="0" w:type="dxa"/>
            <w:left w:w="108" w:type="dxa"/>
            <w:bottom w:w="0" w:type="dxa"/>
            <w:right w:w="108" w:type="dxa"/>
          </w:tblCellMar>
        </w:tblPrEx>
        <w:trPr>
          <w:trHeight w:val="540" w:hRule="atLeast"/>
        </w:trPr>
        <w:tc>
          <w:tcPr>
            <w:tcW w:w="371" w:type="pct"/>
            <w:tcBorders>
              <w:top w:val="nil"/>
              <w:left w:val="single" w:color="auto" w:sz="4" w:space="0"/>
              <w:bottom w:val="single" w:color="auto" w:sz="4" w:space="0"/>
              <w:right w:val="single" w:color="auto" w:sz="4" w:space="0"/>
            </w:tcBorders>
            <w:noWrap w:val="0"/>
            <w:vAlign w:val="center"/>
          </w:tcPr>
          <w:p w14:paraId="007D4000">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68" w:type="pct"/>
            <w:tcBorders>
              <w:top w:val="nil"/>
              <w:left w:val="nil"/>
              <w:bottom w:val="single" w:color="auto" w:sz="4" w:space="0"/>
              <w:right w:val="single" w:color="auto" w:sz="4" w:space="0"/>
            </w:tcBorders>
            <w:noWrap w:val="0"/>
            <w:vAlign w:val="center"/>
          </w:tcPr>
          <w:p w14:paraId="7FE1C510">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办公和仓储配送中心环境是否干净整洁</w:t>
            </w:r>
          </w:p>
        </w:tc>
        <w:tc>
          <w:tcPr>
            <w:tcW w:w="396" w:type="pct"/>
            <w:tcBorders>
              <w:top w:val="nil"/>
              <w:left w:val="nil"/>
              <w:bottom w:val="single" w:color="auto" w:sz="4" w:space="0"/>
              <w:right w:val="single" w:color="auto" w:sz="4" w:space="0"/>
            </w:tcBorders>
            <w:noWrap w:val="0"/>
            <w:vAlign w:val="center"/>
          </w:tcPr>
          <w:p w14:paraId="13B1C4A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23C5E59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办公、仓储环境脏乱差的扣5分</w:t>
            </w:r>
          </w:p>
        </w:tc>
        <w:tc>
          <w:tcPr>
            <w:tcW w:w="734" w:type="pct"/>
            <w:tcBorders>
              <w:top w:val="nil"/>
              <w:left w:val="nil"/>
              <w:bottom w:val="single" w:color="auto" w:sz="4" w:space="0"/>
              <w:right w:val="single" w:color="auto" w:sz="4" w:space="0"/>
            </w:tcBorders>
            <w:noWrap w:val="0"/>
            <w:vAlign w:val="center"/>
          </w:tcPr>
          <w:p w14:paraId="42B0AF3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1C6C3EE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F135F75">
        <w:tblPrEx>
          <w:tblCellMar>
            <w:top w:w="0" w:type="dxa"/>
            <w:left w:w="108" w:type="dxa"/>
            <w:bottom w:w="0" w:type="dxa"/>
            <w:right w:w="108" w:type="dxa"/>
          </w:tblCellMar>
        </w:tblPrEx>
        <w:trPr>
          <w:trHeight w:val="90" w:hRule="atLeast"/>
        </w:trPr>
        <w:tc>
          <w:tcPr>
            <w:tcW w:w="371" w:type="pct"/>
            <w:tcBorders>
              <w:top w:val="nil"/>
              <w:left w:val="single" w:color="auto" w:sz="4" w:space="0"/>
              <w:bottom w:val="single" w:color="auto" w:sz="4" w:space="0"/>
              <w:right w:val="single" w:color="auto" w:sz="4" w:space="0"/>
            </w:tcBorders>
            <w:noWrap w:val="0"/>
            <w:vAlign w:val="center"/>
          </w:tcPr>
          <w:p w14:paraId="5E5EFA9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968" w:type="pct"/>
            <w:tcBorders>
              <w:top w:val="nil"/>
              <w:left w:val="nil"/>
              <w:bottom w:val="single" w:color="auto" w:sz="4" w:space="0"/>
              <w:right w:val="single" w:color="auto" w:sz="4" w:space="0"/>
            </w:tcBorders>
            <w:noWrap w:val="0"/>
            <w:vAlign w:val="center"/>
          </w:tcPr>
          <w:p w14:paraId="373D7085">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信息公开（营业执照、食品经营许可证（是生产厂商需要生产经营许可证）、食品安全责任书和自我承诺书、从业人员健康证明、日常监督检查结果记录表、投诉举报电话公示在醒目位置）</w:t>
            </w:r>
          </w:p>
        </w:tc>
        <w:tc>
          <w:tcPr>
            <w:tcW w:w="396" w:type="pct"/>
            <w:tcBorders>
              <w:top w:val="nil"/>
              <w:left w:val="nil"/>
              <w:bottom w:val="single" w:color="auto" w:sz="4" w:space="0"/>
              <w:right w:val="single" w:color="auto" w:sz="4" w:space="0"/>
            </w:tcBorders>
            <w:noWrap w:val="0"/>
            <w:vAlign w:val="center"/>
          </w:tcPr>
          <w:p w14:paraId="16086BA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01C06D6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每缺少1项扣0.5分，扣完为止。</w:t>
            </w:r>
          </w:p>
        </w:tc>
        <w:tc>
          <w:tcPr>
            <w:tcW w:w="734" w:type="pct"/>
            <w:tcBorders>
              <w:top w:val="nil"/>
              <w:left w:val="nil"/>
              <w:bottom w:val="single" w:color="auto" w:sz="4" w:space="0"/>
              <w:right w:val="single" w:color="auto" w:sz="4" w:space="0"/>
            </w:tcBorders>
            <w:noWrap w:val="0"/>
            <w:vAlign w:val="center"/>
          </w:tcPr>
          <w:p w14:paraId="023669E5">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51ECCF8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E0B1A73">
        <w:tblPrEx>
          <w:tblCellMar>
            <w:top w:w="0" w:type="dxa"/>
            <w:left w:w="108" w:type="dxa"/>
            <w:bottom w:w="0" w:type="dxa"/>
            <w:right w:w="108" w:type="dxa"/>
          </w:tblCellMar>
        </w:tblPrEx>
        <w:trPr>
          <w:trHeight w:val="1080" w:hRule="atLeast"/>
        </w:trPr>
        <w:tc>
          <w:tcPr>
            <w:tcW w:w="371" w:type="pct"/>
            <w:tcBorders>
              <w:top w:val="nil"/>
              <w:left w:val="single" w:color="auto" w:sz="4" w:space="0"/>
              <w:bottom w:val="single" w:color="auto" w:sz="4" w:space="0"/>
              <w:right w:val="single" w:color="auto" w:sz="4" w:space="0"/>
            </w:tcBorders>
            <w:noWrap w:val="0"/>
            <w:vAlign w:val="center"/>
          </w:tcPr>
          <w:p w14:paraId="0651EDF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968" w:type="pct"/>
            <w:tcBorders>
              <w:top w:val="nil"/>
              <w:left w:val="nil"/>
              <w:bottom w:val="single" w:color="auto" w:sz="4" w:space="0"/>
              <w:right w:val="single" w:color="auto" w:sz="4" w:space="0"/>
            </w:tcBorders>
            <w:noWrap w:val="0"/>
            <w:vAlign w:val="center"/>
          </w:tcPr>
          <w:p w14:paraId="38A0208B">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所有配送、从业人员均须持有效健康证，专业人员（食品安全总监、食品检验员、驾驶人员驾驶证）等是否持证上岗。</w:t>
            </w:r>
          </w:p>
        </w:tc>
        <w:tc>
          <w:tcPr>
            <w:tcW w:w="396" w:type="pct"/>
            <w:tcBorders>
              <w:top w:val="nil"/>
              <w:left w:val="nil"/>
              <w:bottom w:val="single" w:color="auto" w:sz="4" w:space="0"/>
              <w:right w:val="single" w:color="auto" w:sz="4" w:space="0"/>
            </w:tcBorders>
            <w:noWrap w:val="0"/>
            <w:vAlign w:val="center"/>
          </w:tcPr>
          <w:p w14:paraId="4FB8025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15F0899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每缺少1项扣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分，扣完为止。</w:t>
            </w:r>
          </w:p>
        </w:tc>
        <w:tc>
          <w:tcPr>
            <w:tcW w:w="734" w:type="pct"/>
            <w:tcBorders>
              <w:top w:val="nil"/>
              <w:left w:val="nil"/>
              <w:bottom w:val="single" w:color="auto" w:sz="4" w:space="0"/>
              <w:right w:val="single" w:color="auto" w:sz="4" w:space="0"/>
            </w:tcBorders>
            <w:noWrap w:val="0"/>
            <w:vAlign w:val="center"/>
          </w:tcPr>
          <w:p w14:paraId="15FCF8E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0D99CE3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6DC357D">
        <w:tblPrEx>
          <w:tblCellMar>
            <w:top w:w="0" w:type="dxa"/>
            <w:left w:w="108" w:type="dxa"/>
            <w:bottom w:w="0" w:type="dxa"/>
            <w:right w:w="108" w:type="dxa"/>
          </w:tblCellMar>
        </w:tblPrEx>
        <w:trPr>
          <w:trHeight w:val="705" w:hRule="atLeast"/>
        </w:trPr>
        <w:tc>
          <w:tcPr>
            <w:tcW w:w="371" w:type="pct"/>
            <w:tcBorders>
              <w:top w:val="nil"/>
              <w:left w:val="single" w:color="auto" w:sz="4" w:space="0"/>
              <w:bottom w:val="single" w:color="auto" w:sz="4" w:space="0"/>
              <w:right w:val="single" w:color="auto" w:sz="4" w:space="0"/>
            </w:tcBorders>
            <w:noWrap w:val="0"/>
            <w:vAlign w:val="center"/>
          </w:tcPr>
          <w:p w14:paraId="4251A7D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968" w:type="pct"/>
            <w:tcBorders>
              <w:top w:val="nil"/>
              <w:left w:val="nil"/>
              <w:bottom w:val="single" w:color="auto" w:sz="4" w:space="0"/>
              <w:right w:val="single" w:color="auto" w:sz="4" w:space="0"/>
            </w:tcBorders>
            <w:noWrap w:val="0"/>
            <w:vAlign w:val="center"/>
          </w:tcPr>
          <w:p w14:paraId="56557D8D">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配送车辆应证件齐全有效(如行驶证、车辆保险、车辆年检等）</w:t>
            </w:r>
          </w:p>
        </w:tc>
        <w:tc>
          <w:tcPr>
            <w:tcW w:w="396" w:type="pct"/>
            <w:tcBorders>
              <w:top w:val="nil"/>
              <w:left w:val="nil"/>
              <w:bottom w:val="single" w:color="auto" w:sz="4" w:space="0"/>
              <w:right w:val="single" w:color="auto" w:sz="4" w:space="0"/>
            </w:tcBorders>
            <w:noWrap w:val="0"/>
            <w:vAlign w:val="center"/>
          </w:tcPr>
          <w:p w14:paraId="47BCCFD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86" w:type="pct"/>
            <w:tcBorders>
              <w:top w:val="nil"/>
              <w:left w:val="nil"/>
              <w:bottom w:val="single" w:color="auto" w:sz="4" w:space="0"/>
              <w:right w:val="single" w:color="auto" w:sz="4" w:space="0"/>
            </w:tcBorders>
            <w:noWrap w:val="0"/>
            <w:vAlign w:val="center"/>
          </w:tcPr>
          <w:p w14:paraId="57ACC90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每缺少1项扣0.5分，扣完为止。</w:t>
            </w:r>
          </w:p>
        </w:tc>
        <w:tc>
          <w:tcPr>
            <w:tcW w:w="734" w:type="pct"/>
            <w:tcBorders>
              <w:top w:val="nil"/>
              <w:left w:val="nil"/>
              <w:bottom w:val="single" w:color="auto" w:sz="4" w:space="0"/>
              <w:right w:val="single" w:color="auto" w:sz="4" w:space="0"/>
            </w:tcBorders>
            <w:noWrap w:val="0"/>
            <w:vAlign w:val="center"/>
          </w:tcPr>
          <w:p w14:paraId="0C7D69A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0253207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BBC10F4">
        <w:tblPrEx>
          <w:tblCellMar>
            <w:top w:w="0" w:type="dxa"/>
            <w:left w:w="108" w:type="dxa"/>
            <w:bottom w:w="0" w:type="dxa"/>
            <w:right w:w="108" w:type="dxa"/>
          </w:tblCellMar>
        </w:tblPrEx>
        <w:trPr>
          <w:trHeight w:val="540" w:hRule="atLeast"/>
        </w:trPr>
        <w:tc>
          <w:tcPr>
            <w:tcW w:w="371" w:type="pct"/>
            <w:tcBorders>
              <w:top w:val="nil"/>
              <w:left w:val="single" w:color="auto" w:sz="4" w:space="0"/>
              <w:bottom w:val="single" w:color="auto" w:sz="4" w:space="0"/>
              <w:right w:val="single" w:color="auto" w:sz="4" w:space="0"/>
            </w:tcBorders>
            <w:noWrap w:val="0"/>
            <w:vAlign w:val="center"/>
          </w:tcPr>
          <w:p w14:paraId="4366AF9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968" w:type="pct"/>
            <w:tcBorders>
              <w:top w:val="nil"/>
              <w:left w:val="nil"/>
              <w:bottom w:val="single" w:color="auto" w:sz="4" w:space="0"/>
              <w:right w:val="single" w:color="auto" w:sz="4" w:space="0"/>
            </w:tcBorders>
            <w:noWrap w:val="0"/>
            <w:vAlign w:val="center"/>
          </w:tcPr>
          <w:p w14:paraId="246FB842">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配送车辆内外是否干净，有无消毒记录</w:t>
            </w:r>
          </w:p>
        </w:tc>
        <w:tc>
          <w:tcPr>
            <w:tcW w:w="396" w:type="pct"/>
            <w:tcBorders>
              <w:top w:val="nil"/>
              <w:left w:val="nil"/>
              <w:bottom w:val="single" w:color="auto" w:sz="4" w:space="0"/>
              <w:right w:val="single" w:color="auto" w:sz="4" w:space="0"/>
            </w:tcBorders>
            <w:noWrap w:val="0"/>
            <w:vAlign w:val="center"/>
          </w:tcPr>
          <w:p w14:paraId="72661369">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86" w:type="pct"/>
            <w:tcBorders>
              <w:top w:val="nil"/>
              <w:left w:val="nil"/>
              <w:bottom w:val="single" w:color="auto" w:sz="4" w:space="0"/>
              <w:right w:val="single" w:color="auto" w:sz="4" w:space="0"/>
            </w:tcBorders>
            <w:noWrap w:val="0"/>
            <w:vAlign w:val="center"/>
          </w:tcPr>
          <w:p w14:paraId="463E495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每缺少1项扣0.5分，扣完为止。</w:t>
            </w:r>
          </w:p>
        </w:tc>
        <w:tc>
          <w:tcPr>
            <w:tcW w:w="734" w:type="pct"/>
            <w:tcBorders>
              <w:top w:val="nil"/>
              <w:left w:val="nil"/>
              <w:bottom w:val="single" w:color="auto" w:sz="4" w:space="0"/>
              <w:right w:val="single" w:color="auto" w:sz="4" w:space="0"/>
            </w:tcBorders>
            <w:noWrap w:val="0"/>
            <w:vAlign w:val="center"/>
          </w:tcPr>
          <w:p w14:paraId="6851225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490A7475">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31ABFDF">
        <w:tblPrEx>
          <w:tblCellMar>
            <w:top w:w="0" w:type="dxa"/>
            <w:left w:w="108" w:type="dxa"/>
            <w:bottom w:w="0" w:type="dxa"/>
            <w:right w:w="108" w:type="dxa"/>
          </w:tblCellMar>
        </w:tblPrEx>
        <w:trPr>
          <w:trHeight w:val="540" w:hRule="atLeast"/>
        </w:trPr>
        <w:tc>
          <w:tcPr>
            <w:tcW w:w="371" w:type="pct"/>
            <w:tcBorders>
              <w:top w:val="nil"/>
              <w:left w:val="single" w:color="auto" w:sz="4" w:space="0"/>
              <w:bottom w:val="single" w:color="auto" w:sz="4" w:space="0"/>
              <w:right w:val="single" w:color="auto" w:sz="4" w:space="0"/>
            </w:tcBorders>
            <w:noWrap w:val="0"/>
            <w:vAlign w:val="center"/>
          </w:tcPr>
          <w:p w14:paraId="06A64995">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968" w:type="pct"/>
            <w:tcBorders>
              <w:top w:val="nil"/>
              <w:left w:val="nil"/>
              <w:bottom w:val="single" w:color="auto" w:sz="4" w:space="0"/>
              <w:right w:val="single" w:color="auto" w:sz="4" w:space="0"/>
            </w:tcBorders>
            <w:noWrap w:val="0"/>
            <w:vAlign w:val="center"/>
          </w:tcPr>
          <w:p w14:paraId="33AE02DD">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配送车辆GPS定位系统是否正常工作</w:t>
            </w:r>
          </w:p>
        </w:tc>
        <w:tc>
          <w:tcPr>
            <w:tcW w:w="396" w:type="pct"/>
            <w:tcBorders>
              <w:top w:val="nil"/>
              <w:left w:val="nil"/>
              <w:bottom w:val="single" w:color="auto" w:sz="4" w:space="0"/>
              <w:right w:val="single" w:color="auto" w:sz="4" w:space="0"/>
            </w:tcBorders>
            <w:noWrap w:val="0"/>
            <w:vAlign w:val="center"/>
          </w:tcPr>
          <w:p w14:paraId="31AF47E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86" w:type="pct"/>
            <w:tcBorders>
              <w:top w:val="nil"/>
              <w:left w:val="nil"/>
              <w:bottom w:val="single" w:color="auto" w:sz="4" w:space="0"/>
              <w:right w:val="single" w:color="auto" w:sz="4" w:space="0"/>
            </w:tcBorders>
            <w:noWrap w:val="0"/>
            <w:vAlign w:val="center"/>
          </w:tcPr>
          <w:p w14:paraId="1942ED9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每缺少1项扣0.5分，扣完为止。</w:t>
            </w:r>
          </w:p>
        </w:tc>
        <w:tc>
          <w:tcPr>
            <w:tcW w:w="734" w:type="pct"/>
            <w:tcBorders>
              <w:top w:val="nil"/>
              <w:left w:val="nil"/>
              <w:bottom w:val="single" w:color="auto" w:sz="4" w:space="0"/>
              <w:right w:val="single" w:color="auto" w:sz="4" w:space="0"/>
            </w:tcBorders>
            <w:noWrap w:val="0"/>
            <w:vAlign w:val="center"/>
          </w:tcPr>
          <w:p w14:paraId="2A0445E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4A521075">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9DDD3FB">
        <w:tblPrEx>
          <w:tblCellMar>
            <w:top w:w="0" w:type="dxa"/>
            <w:left w:w="108" w:type="dxa"/>
            <w:bottom w:w="0" w:type="dxa"/>
            <w:right w:w="108" w:type="dxa"/>
          </w:tblCellMar>
        </w:tblPrEx>
        <w:trPr>
          <w:trHeight w:val="1080" w:hRule="atLeast"/>
        </w:trPr>
        <w:tc>
          <w:tcPr>
            <w:tcW w:w="371" w:type="pct"/>
            <w:tcBorders>
              <w:top w:val="nil"/>
              <w:left w:val="single" w:color="auto" w:sz="4" w:space="0"/>
              <w:bottom w:val="single" w:color="auto" w:sz="4" w:space="0"/>
              <w:right w:val="single" w:color="auto" w:sz="4" w:space="0"/>
            </w:tcBorders>
            <w:noWrap w:val="0"/>
            <w:vAlign w:val="center"/>
          </w:tcPr>
          <w:p w14:paraId="5B73CFC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968" w:type="pct"/>
            <w:tcBorders>
              <w:top w:val="nil"/>
              <w:left w:val="nil"/>
              <w:bottom w:val="single" w:color="auto" w:sz="4" w:space="0"/>
              <w:right w:val="single" w:color="auto" w:sz="4" w:space="0"/>
            </w:tcBorders>
            <w:noWrap w:val="0"/>
            <w:vAlign w:val="center"/>
          </w:tcPr>
          <w:p w14:paraId="50AEB8D7">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视频监控（仓储进出口区域、食品储存区域、检测室等功能区必须安装视频监控，实行全过程实时视频监控，视频保存30天以上）</w:t>
            </w:r>
          </w:p>
        </w:tc>
        <w:tc>
          <w:tcPr>
            <w:tcW w:w="396" w:type="pct"/>
            <w:tcBorders>
              <w:top w:val="nil"/>
              <w:left w:val="nil"/>
              <w:bottom w:val="single" w:color="auto" w:sz="4" w:space="0"/>
              <w:right w:val="single" w:color="auto" w:sz="4" w:space="0"/>
            </w:tcBorders>
            <w:noWrap w:val="0"/>
            <w:vAlign w:val="center"/>
          </w:tcPr>
          <w:p w14:paraId="61129B3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86" w:type="pct"/>
            <w:tcBorders>
              <w:top w:val="nil"/>
              <w:left w:val="nil"/>
              <w:bottom w:val="single" w:color="auto" w:sz="4" w:space="0"/>
              <w:right w:val="single" w:color="auto" w:sz="4" w:space="0"/>
            </w:tcBorders>
            <w:noWrap w:val="0"/>
            <w:vAlign w:val="center"/>
          </w:tcPr>
          <w:p w14:paraId="7162439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每缺少1项扣0.5分，扣完为止。</w:t>
            </w:r>
          </w:p>
        </w:tc>
        <w:tc>
          <w:tcPr>
            <w:tcW w:w="734" w:type="pct"/>
            <w:tcBorders>
              <w:top w:val="nil"/>
              <w:left w:val="nil"/>
              <w:bottom w:val="single" w:color="auto" w:sz="4" w:space="0"/>
              <w:right w:val="single" w:color="auto" w:sz="4" w:space="0"/>
            </w:tcBorders>
            <w:noWrap w:val="0"/>
            <w:vAlign w:val="center"/>
          </w:tcPr>
          <w:p w14:paraId="099BB1B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7A39520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5DFA4EE6">
        <w:tblPrEx>
          <w:tblCellMar>
            <w:top w:w="0" w:type="dxa"/>
            <w:left w:w="108" w:type="dxa"/>
            <w:bottom w:w="0" w:type="dxa"/>
            <w:right w:w="108" w:type="dxa"/>
          </w:tblCellMar>
        </w:tblPrEx>
        <w:trPr>
          <w:trHeight w:val="540" w:hRule="atLeast"/>
        </w:trPr>
        <w:tc>
          <w:tcPr>
            <w:tcW w:w="371" w:type="pct"/>
            <w:tcBorders>
              <w:top w:val="nil"/>
              <w:left w:val="single" w:color="auto" w:sz="4" w:space="0"/>
              <w:bottom w:val="single" w:color="auto" w:sz="4" w:space="0"/>
              <w:right w:val="single" w:color="auto" w:sz="4" w:space="0"/>
            </w:tcBorders>
            <w:noWrap w:val="0"/>
            <w:vAlign w:val="center"/>
          </w:tcPr>
          <w:p w14:paraId="6ACECB5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968" w:type="pct"/>
            <w:tcBorders>
              <w:top w:val="nil"/>
              <w:left w:val="nil"/>
              <w:bottom w:val="single" w:color="auto" w:sz="4" w:space="0"/>
              <w:right w:val="single" w:color="auto" w:sz="4" w:space="0"/>
            </w:tcBorders>
            <w:noWrap w:val="0"/>
            <w:vAlign w:val="center"/>
          </w:tcPr>
          <w:p w14:paraId="085E4DCE">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每个工作日从业人员均应有晨检记录、工作记录</w:t>
            </w:r>
          </w:p>
        </w:tc>
        <w:tc>
          <w:tcPr>
            <w:tcW w:w="396" w:type="pct"/>
            <w:tcBorders>
              <w:top w:val="nil"/>
              <w:left w:val="nil"/>
              <w:bottom w:val="single" w:color="auto" w:sz="4" w:space="0"/>
              <w:right w:val="single" w:color="auto" w:sz="4" w:space="0"/>
            </w:tcBorders>
            <w:noWrap w:val="0"/>
            <w:vAlign w:val="center"/>
          </w:tcPr>
          <w:p w14:paraId="5AF9864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6277CB7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每缺少一项扣0.5分，扣完为止。</w:t>
            </w:r>
          </w:p>
        </w:tc>
        <w:tc>
          <w:tcPr>
            <w:tcW w:w="734" w:type="pct"/>
            <w:tcBorders>
              <w:top w:val="nil"/>
              <w:left w:val="nil"/>
              <w:bottom w:val="single" w:color="auto" w:sz="4" w:space="0"/>
              <w:right w:val="single" w:color="auto" w:sz="4" w:space="0"/>
            </w:tcBorders>
            <w:noWrap w:val="0"/>
            <w:vAlign w:val="center"/>
          </w:tcPr>
          <w:p w14:paraId="51A1CA0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15ECF52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AC8FC9F">
        <w:tblPrEx>
          <w:tblCellMar>
            <w:top w:w="0" w:type="dxa"/>
            <w:left w:w="108" w:type="dxa"/>
            <w:bottom w:w="0" w:type="dxa"/>
            <w:right w:w="108" w:type="dxa"/>
          </w:tblCellMar>
        </w:tblPrEx>
        <w:trPr>
          <w:trHeight w:val="1080" w:hRule="atLeast"/>
        </w:trPr>
        <w:tc>
          <w:tcPr>
            <w:tcW w:w="371" w:type="pct"/>
            <w:tcBorders>
              <w:top w:val="nil"/>
              <w:left w:val="single" w:color="auto" w:sz="4" w:space="0"/>
              <w:bottom w:val="single" w:color="auto" w:sz="4" w:space="0"/>
              <w:right w:val="single" w:color="auto" w:sz="4" w:space="0"/>
            </w:tcBorders>
            <w:noWrap w:val="0"/>
            <w:vAlign w:val="center"/>
          </w:tcPr>
          <w:p w14:paraId="39A9CC3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968" w:type="pct"/>
            <w:tcBorders>
              <w:top w:val="nil"/>
              <w:left w:val="nil"/>
              <w:bottom w:val="single" w:color="auto" w:sz="4" w:space="0"/>
              <w:right w:val="single" w:color="auto" w:sz="4" w:space="0"/>
            </w:tcBorders>
            <w:noWrap w:val="0"/>
            <w:vAlign w:val="center"/>
          </w:tcPr>
          <w:p w14:paraId="077DE96D">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食品安全追溯制度健全，食材进出货要及时记录、登记归档，做好台账并实现信息化管理，保存时间至少3年</w:t>
            </w:r>
          </w:p>
        </w:tc>
        <w:tc>
          <w:tcPr>
            <w:tcW w:w="396" w:type="pct"/>
            <w:tcBorders>
              <w:top w:val="nil"/>
              <w:left w:val="nil"/>
              <w:bottom w:val="single" w:color="auto" w:sz="4" w:space="0"/>
              <w:right w:val="single" w:color="auto" w:sz="4" w:space="0"/>
            </w:tcBorders>
            <w:noWrap w:val="0"/>
            <w:vAlign w:val="center"/>
          </w:tcPr>
          <w:p w14:paraId="1A72E85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086" w:type="pct"/>
            <w:tcBorders>
              <w:top w:val="nil"/>
              <w:left w:val="nil"/>
              <w:bottom w:val="single" w:color="auto" w:sz="4" w:space="0"/>
              <w:right w:val="single" w:color="auto" w:sz="4" w:space="0"/>
            </w:tcBorders>
            <w:noWrap w:val="0"/>
            <w:vAlign w:val="center"/>
          </w:tcPr>
          <w:p w14:paraId="28E537A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每缺少一项扣0.5分，扣完为止。</w:t>
            </w:r>
          </w:p>
        </w:tc>
        <w:tc>
          <w:tcPr>
            <w:tcW w:w="734" w:type="pct"/>
            <w:tcBorders>
              <w:top w:val="nil"/>
              <w:left w:val="nil"/>
              <w:bottom w:val="single" w:color="auto" w:sz="4" w:space="0"/>
              <w:right w:val="single" w:color="auto" w:sz="4" w:space="0"/>
            </w:tcBorders>
            <w:noWrap w:val="0"/>
            <w:vAlign w:val="center"/>
          </w:tcPr>
          <w:p w14:paraId="4FAECB3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4503571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E2D1882">
        <w:tblPrEx>
          <w:tblCellMar>
            <w:top w:w="0" w:type="dxa"/>
            <w:left w:w="108" w:type="dxa"/>
            <w:bottom w:w="0" w:type="dxa"/>
            <w:right w:w="108" w:type="dxa"/>
          </w:tblCellMar>
        </w:tblPrEx>
        <w:trPr>
          <w:trHeight w:val="1080" w:hRule="atLeast"/>
        </w:trPr>
        <w:tc>
          <w:tcPr>
            <w:tcW w:w="371" w:type="pct"/>
            <w:tcBorders>
              <w:top w:val="nil"/>
              <w:left w:val="single" w:color="auto" w:sz="4" w:space="0"/>
              <w:bottom w:val="single" w:color="auto" w:sz="4" w:space="0"/>
              <w:right w:val="single" w:color="auto" w:sz="4" w:space="0"/>
            </w:tcBorders>
            <w:noWrap w:val="0"/>
            <w:vAlign w:val="center"/>
          </w:tcPr>
          <w:p w14:paraId="7D6B44B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968" w:type="pct"/>
            <w:tcBorders>
              <w:top w:val="nil"/>
              <w:left w:val="nil"/>
              <w:bottom w:val="single" w:color="auto" w:sz="4" w:space="0"/>
              <w:right w:val="single" w:color="auto" w:sz="4" w:space="0"/>
            </w:tcBorders>
            <w:noWrap w:val="0"/>
            <w:vAlign w:val="center"/>
          </w:tcPr>
          <w:p w14:paraId="79C17F7A">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所供食材需提供相对应的各类检测报告、检验合格证等，并应随货送达</w:t>
            </w:r>
          </w:p>
        </w:tc>
        <w:tc>
          <w:tcPr>
            <w:tcW w:w="396" w:type="pct"/>
            <w:tcBorders>
              <w:top w:val="nil"/>
              <w:left w:val="nil"/>
              <w:bottom w:val="single" w:color="auto" w:sz="4" w:space="0"/>
              <w:right w:val="single" w:color="auto" w:sz="4" w:space="0"/>
            </w:tcBorders>
            <w:noWrap w:val="0"/>
            <w:vAlign w:val="center"/>
          </w:tcPr>
          <w:p w14:paraId="782F6BD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086" w:type="pct"/>
            <w:tcBorders>
              <w:top w:val="nil"/>
              <w:left w:val="nil"/>
              <w:bottom w:val="single" w:color="auto" w:sz="4" w:space="0"/>
              <w:right w:val="single" w:color="auto" w:sz="4" w:space="0"/>
            </w:tcBorders>
            <w:noWrap w:val="0"/>
            <w:vAlign w:val="center"/>
          </w:tcPr>
          <w:p w14:paraId="28F3342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每缺少一项扣0.5分，扣完为止。</w:t>
            </w:r>
          </w:p>
        </w:tc>
        <w:tc>
          <w:tcPr>
            <w:tcW w:w="734" w:type="pct"/>
            <w:tcBorders>
              <w:top w:val="nil"/>
              <w:left w:val="nil"/>
              <w:bottom w:val="nil"/>
              <w:right w:val="single" w:color="auto" w:sz="4" w:space="0"/>
            </w:tcBorders>
            <w:noWrap w:val="0"/>
            <w:vAlign w:val="center"/>
          </w:tcPr>
          <w:p w14:paraId="78445980">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nil"/>
              <w:right w:val="single" w:color="auto" w:sz="4" w:space="0"/>
            </w:tcBorders>
            <w:noWrap w:val="0"/>
            <w:vAlign w:val="center"/>
          </w:tcPr>
          <w:p w14:paraId="20B67B7C">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B07854B">
        <w:tblPrEx>
          <w:tblCellMar>
            <w:top w:w="0" w:type="dxa"/>
            <w:left w:w="108" w:type="dxa"/>
            <w:bottom w:w="0" w:type="dxa"/>
            <w:right w:w="108" w:type="dxa"/>
          </w:tblCellMar>
        </w:tblPrEx>
        <w:trPr>
          <w:trHeight w:val="810" w:hRule="atLeast"/>
        </w:trPr>
        <w:tc>
          <w:tcPr>
            <w:tcW w:w="371" w:type="pct"/>
            <w:tcBorders>
              <w:top w:val="nil"/>
              <w:left w:val="single" w:color="auto" w:sz="4" w:space="0"/>
              <w:bottom w:val="single" w:color="auto" w:sz="4" w:space="0"/>
              <w:right w:val="single" w:color="auto" w:sz="4" w:space="0"/>
            </w:tcBorders>
            <w:noWrap w:val="0"/>
            <w:vAlign w:val="center"/>
          </w:tcPr>
          <w:p w14:paraId="0923F9C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968" w:type="pct"/>
            <w:tcBorders>
              <w:top w:val="nil"/>
              <w:left w:val="nil"/>
              <w:bottom w:val="single" w:color="auto" w:sz="4" w:space="0"/>
              <w:right w:val="single" w:color="auto" w:sz="4" w:space="0"/>
            </w:tcBorders>
            <w:noWrap w:val="0"/>
            <w:vAlign w:val="center"/>
          </w:tcPr>
          <w:p w14:paraId="49B2EA81">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所供产品质量（如新鲜度、保质期等）应符合</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要求，无腐烂、变质等情况</w:t>
            </w:r>
          </w:p>
        </w:tc>
        <w:tc>
          <w:tcPr>
            <w:tcW w:w="396" w:type="pct"/>
            <w:tcBorders>
              <w:top w:val="nil"/>
              <w:left w:val="nil"/>
              <w:bottom w:val="single" w:color="auto" w:sz="4" w:space="0"/>
              <w:right w:val="single" w:color="auto" w:sz="4" w:space="0"/>
            </w:tcBorders>
            <w:noWrap w:val="0"/>
            <w:vAlign w:val="center"/>
          </w:tcPr>
          <w:p w14:paraId="299E943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086" w:type="pct"/>
            <w:tcBorders>
              <w:top w:val="nil"/>
              <w:left w:val="nil"/>
              <w:bottom w:val="single" w:color="auto" w:sz="4" w:space="0"/>
              <w:right w:val="single" w:color="auto" w:sz="4" w:space="0"/>
            </w:tcBorders>
            <w:noWrap w:val="0"/>
            <w:vAlign w:val="center"/>
          </w:tcPr>
          <w:p w14:paraId="15112A3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每出现一次不合格，扣2分， 扣完为止。</w:t>
            </w:r>
          </w:p>
        </w:tc>
        <w:tc>
          <w:tcPr>
            <w:tcW w:w="734" w:type="pct"/>
            <w:tcBorders>
              <w:top w:val="single" w:color="auto" w:sz="4" w:space="0"/>
              <w:left w:val="nil"/>
              <w:bottom w:val="single" w:color="auto" w:sz="4" w:space="0"/>
              <w:right w:val="single" w:color="auto" w:sz="4" w:space="0"/>
            </w:tcBorders>
            <w:noWrap w:val="0"/>
            <w:vAlign w:val="center"/>
          </w:tcPr>
          <w:p w14:paraId="220933B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single" w:color="auto" w:sz="4" w:space="0"/>
              <w:left w:val="nil"/>
              <w:bottom w:val="single" w:color="auto" w:sz="4" w:space="0"/>
              <w:right w:val="single" w:color="auto" w:sz="4" w:space="0"/>
            </w:tcBorders>
            <w:noWrap w:val="0"/>
            <w:vAlign w:val="center"/>
          </w:tcPr>
          <w:p w14:paraId="219D7A9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D304B19">
        <w:tblPrEx>
          <w:tblCellMar>
            <w:top w:w="0" w:type="dxa"/>
            <w:left w:w="108" w:type="dxa"/>
            <w:bottom w:w="0" w:type="dxa"/>
            <w:right w:w="108" w:type="dxa"/>
          </w:tblCellMar>
        </w:tblPrEx>
        <w:trPr>
          <w:trHeight w:val="540" w:hRule="atLeast"/>
        </w:trPr>
        <w:tc>
          <w:tcPr>
            <w:tcW w:w="371" w:type="pct"/>
            <w:tcBorders>
              <w:top w:val="nil"/>
              <w:left w:val="single" w:color="auto" w:sz="4" w:space="0"/>
              <w:bottom w:val="single" w:color="auto" w:sz="4" w:space="0"/>
              <w:right w:val="single" w:color="auto" w:sz="4" w:space="0"/>
            </w:tcBorders>
            <w:noWrap w:val="0"/>
            <w:vAlign w:val="center"/>
          </w:tcPr>
          <w:p w14:paraId="15A61BC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968" w:type="pct"/>
            <w:tcBorders>
              <w:top w:val="nil"/>
              <w:left w:val="nil"/>
              <w:bottom w:val="single" w:color="auto" w:sz="4" w:space="0"/>
              <w:right w:val="single" w:color="auto" w:sz="4" w:space="0"/>
            </w:tcBorders>
            <w:noWrap w:val="0"/>
            <w:vAlign w:val="center"/>
          </w:tcPr>
          <w:p w14:paraId="07745687">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包装产品应有QS或SC标志，散装产品有质量合格证明或检测报告</w:t>
            </w:r>
          </w:p>
        </w:tc>
        <w:tc>
          <w:tcPr>
            <w:tcW w:w="396" w:type="pct"/>
            <w:tcBorders>
              <w:top w:val="nil"/>
              <w:left w:val="nil"/>
              <w:bottom w:val="single" w:color="auto" w:sz="4" w:space="0"/>
              <w:right w:val="single" w:color="auto" w:sz="4" w:space="0"/>
            </w:tcBorders>
            <w:noWrap w:val="0"/>
            <w:vAlign w:val="center"/>
          </w:tcPr>
          <w:p w14:paraId="476C73E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3073E2D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每缺少1次扣0.5分，扣完为止。</w:t>
            </w:r>
          </w:p>
        </w:tc>
        <w:tc>
          <w:tcPr>
            <w:tcW w:w="734" w:type="pct"/>
            <w:tcBorders>
              <w:top w:val="nil"/>
              <w:left w:val="nil"/>
              <w:bottom w:val="single" w:color="auto" w:sz="4" w:space="0"/>
              <w:right w:val="single" w:color="auto" w:sz="4" w:space="0"/>
            </w:tcBorders>
            <w:noWrap w:val="0"/>
            <w:vAlign w:val="center"/>
          </w:tcPr>
          <w:p w14:paraId="3B8E4B75">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3AC4B06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E2E1E06">
        <w:tblPrEx>
          <w:tblCellMar>
            <w:top w:w="0" w:type="dxa"/>
            <w:left w:w="108" w:type="dxa"/>
            <w:bottom w:w="0" w:type="dxa"/>
            <w:right w:w="108" w:type="dxa"/>
          </w:tblCellMar>
        </w:tblPrEx>
        <w:trPr>
          <w:trHeight w:val="945" w:hRule="atLeast"/>
        </w:trPr>
        <w:tc>
          <w:tcPr>
            <w:tcW w:w="371" w:type="pct"/>
            <w:tcBorders>
              <w:top w:val="nil"/>
              <w:left w:val="single" w:color="auto" w:sz="4" w:space="0"/>
              <w:bottom w:val="single" w:color="auto" w:sz="4" w:space="0"/>
              <w:right w:val="single" w:color="auto" w:sz="4" w:space="0"/>
            </w:tcBorders>
            <w:noWrap w:val="0"/>
            <w:vAlign w:val="center"/>
          </w:tcPr>
          <w:p w14:paraId="459270E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968" w:type="pct"/>
            <w:tcBorders>
              <w:top w:val="nil"/>
              <w:left w:val="nil"/>
              <w:bottom w:val="single" w:color="auto" w:sz="4" w:space="0"/>
              <w:right w:val="single" w:color="auto" w:sz="4" w:space="0"/>
            </w:tcBorders>
            <w:noWrap w:val="0"/>
            <w:vAlign w:val="center"/>
          </w:tcPr>
          <w:p w14:paraId="408D9B67">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中标供应商</w:t>
            </w:r>
            <w:r>
              <w:rPr>
                <w:rFonts w:hint="eastAsia" w:ascii="宋体" w:hAnsi="宋体" w:eastAsia="宋体" w:cs="宋体"/>
                <w:color w:val="auto"/>
                <w:kern w:val="0"/>
                <w:sz w:val="21"/>
                <w:szCs w:val="21"/>
                <w:highlight w:val="none"/>
              </w:rPr>
              <w:t>应按照订单所列足斤足两送货，不出现“乱送”、“延时送”、“断货”等情况</w:t>
            </w:r>
          </w:p>
        </w:tc>
        <w:tc>
          <w:tcPr>
            <w:tcW w:w="396" w:type="pct"/>
            <w:tcBorders>
              <w:top w:val="nil"/>
              <w:left w:val="nil"/>
              <w:bottom w:val="single" w:color="auto" w:sz="4" w:space="0"/>
              <w:right w:val="single" w:color="auto" w:sz="4" w:space="0"/>
            </w:tcBorders>
            <w:noWrap w:val="0"/>
            <w:vAlign w:val="center"/>
          </w:tcPr>
          <w:p w14:paraId="7C4F077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29428CB4">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每出现一次上述的情况扣0.5分，扣完为止。</w:t>
            </w:r>
          </w:p>
        </w:tc>
        <w:tc>
          <w:tcPr>
            <w:tcW w:w="734" w:type="pct"/>
            <w:tcBorders>
              <w:top w:val="nil"/>
              <w:left w:val="nil"/>
              <w:bottom w:val="single" w:color="auto" w:sz="4" w:space="0"/>
              <w:right w:val="single" w:color="auto" w:sz="4" w:space="0"/>
            </w:tcBorders>
            <w:noWrap w:val="0"/>
            <w:vAlign w:val="center"/>
          </w:tcPr>
          <w:p w14:paraId="38C542B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1A50135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A0E01A3">
        <w:tblPrEx>
          <w:tblCellMar>
            <w:top w:w="0" w:type="dxa"/>
            <w:left w:w="108" w:type="dxa"/>
            <w:bottom w:w="0" w:type="dxa"/>
            <w:right w:w="108" w:type="dxa"/>
          </w:tblCellMar>
        </w:tblPrEx>
        <w:trPr>
          <w:trHeight w:val="810"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43369DE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968" w:type="pct"/>
            <w:tcBorders>
              <w:top w:val="single" w:color="auto" w:sz="4" w:space="0"/>
              <w:left w:val="single" w:color="auto" w:sz="4" w:space="0"/>
              <w:bottom w:val="single" w:color="auto" w:sz="4" w:space="0"/>
              <w:right w:val="single" w:color="auto" w:sz="4" w:space="0"/>
            </w:tcBorders>
            <w:noWrap w:val="0"/>
            <w:vAlign w:val="center"/>
          </w:tcPr>
          <w:p w14:paraId="48436E4E">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中标供应商</w:t>
            </w:r>
            <w:r>
              <w:rPr>
                <w:rFonts w:hint="eastAsia" w:ascii="宋体" w:hAnsi="宋体" w:eastAsia="宋体" w:cs="宋体"/>
                <w:color w:val="auto"/>
                <w:kern w:val="0"/>
                <w:sz w:val="21"/>
                <w:szCs w:val="21"/>
                <w:highlight w:val="none"/>
              </w:rPr>
              <w:t>是否按照约定时间送货；补货、退货、换货时间是否在</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0分钟（含）内完成</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2533739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single" w:color="auto" w:sz="4" w:space="0"/>
              <w:left w:val="single" w:color="auto" w:sz="4" w:space="0"/>
              <w:bottom w:val="single" w:color="auto" w:sz="4" w:space="0"/>
              <w:right w:val="single" w:color="auto" w:sz="4" w:space="0"/>
            </w:tcBorders>
            <w:noWrap w:val="0"/>
            <w:vAlign w:val="center"/>
          </w:tcPr>
          <w:p w14:paraId="3971A1AF">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每延误一次扣1分，扣完为止，经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确认因不可抗力因素除外。</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31A8F3D0">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697AA10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92396CF">
        <w:tblPrEx>
          <w:tblCellMar>
            <w:top w:w="0" w:type="dxa"/>
            <w:left w:w="108" w:type="dxa"/>
            <w:bottom w:w="0" w:type="dxa"/>
            <w:right w:w="108" w:type="dxa"/>
          </w:tblCellMar>
        </w:tblPrEx>
        <w:trPr>
          <w:trHeight w:val="540"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5503A55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968" w:type="pct"/>
            <w:tcBorders>
              <w:top w:val="single" w:color="auto" w:sz="4" w:space="0"/>
              <w:left w:val="nil"/>
              <w:bottom w:val="single" w:color="auto" w:sz="4" w:space="0"/>
              <w:right w:val="single" w:color="auto" w:sz="4" w:space="0"/>
            </w:tcBorders>
            <w:noWrap w:val="0"/>
            <w:vAlign w:val="center"/>
          </w:tcPr>
          <w:p w14:paraId="4FA0E9BF">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配送人员未将食材送到指定地点的；在</w:t>
            </w:r>
            <w:r>
              <w:rPr>
                <w:rFonts w:hint="eastAsia" w:ascii="宋体" w:hAnsi="宋体" w:eastAsia="宋体" w:cs="宋体"/>
                <w:color w:val="auto"/>
                <w:kern w:val="0"/>
                <w:sz w:val="21"/>
                <w:szCs w:val="21"/>
                <w:highlight w:val="none"/>
                <w:lang w:val="en-US" w:eastAsia="zh-CN"/>
              </w:rPr>
              <w:t>院区</w:t>
            </w:r>
            <w:r>
              <w:rPr>
                <w:rFonts w:hint="eastAsia" w:ascii="宋体" w:hAnsi="宋体" w:eastAsia="宋体" w:cs="宋体"/>
                <w:color w:val="auto"/>
                <w:kern w:val="0"/>
                <w:sz w:val="21"/>
                <w:szCs w:val="21"/>
                <w:highlight w:val="none"/>
              </w:rPr>
              <w:t>、厨房闲逛的</w:t>
            </w:r>
          </w:p>
        </w:tc>
        <w:tc>
          <w:tcPr>
            <w:tcW w:w="396" w:type="pct"/>
            <w:tcBorders>
              <w:top w:val="single" w:color="auto" w:sz="4" w:space="0"/>
              <w:left w:val="nil"/>
              <w:bottom w:val="single" w:color="auto" w:sz="4" w:space="0"/>
              <w:right w:val="single" w:color="auto" w:sz="4" w:space="0"/>
            </w:tcBorders>
            <w:noWrap w:val="0"/>
            <w:vAlign w:val="center"/>
          </w:tcPr>
          <w:p w14:paraId="72255BC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single" w:color="auto" w:sz="4" w:space="0"/>
              <w:left w:val="nil"/>
              <w:bottom w:val="single" w:color="auto" w:sz="4" w:space="0"/>
              <w:right w:val="single" w:color="auto" w:sz="4" w:space="0"/>
            </w:tcBorders>
            <w:noWrap w:val="0"/>
            <w:vAlign w:val="center"/>
          </w:tcPr>
          <w:p w14:paraId="1D17BE9B">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每出现一次上述的情况扣0.5分，扣完为止。</w:t>
            </w:r>
          </w:p>
        </w:tc>
        <w:tc>
          <w:tcPr>
            <w:tcW w:w="734" w:type="pct"/>
            <w:tcBorders>
              <w:top w:val="single" w:color="auto" w:sz="4" w:space="0"/>
              <w:left w:val="nil"/>
              <w:bottom w:val="single" w:color="auto" w:sz="4" w:space="0"/>
              <w:right w:val="single" w:color="auto" w:sz="4" w:space="0"/>
            </w:tcBorders>
            <w:noWrap w:val="0"/>
            <w:vAlign w:val="center"/>
          </w:tcPr>
          <w:p w14:paraId="58A9559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single" w:color="auto" w:sz="4" w:space="0"/>
              <w:left w:val="nil"/>
              <w:bottom w:val="single" w:color="auto" w:sz="4" w:space="0"/>
              <w:right w:val="single" w:color="auto" w:sz="4" w:space="0"/>
            </w:tcBorders>
            <w:noWrap w:val="0"/>
            <w:vAlign w:val="center"/>
          </w:tcPr>
          <w:p w14:paraId="2C2C374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C32C34F">
        <w:tblPrEx>
          <w:tblCellMar>
            <w:top w:w="0" w:type="dxa"/>
            <w:left w:w="108" w:type="dxa"/>
            <w:bottom w:w="0" w:type="dxa"/>
            <w:right w:w="108" w:type="dxa"/>
          </w:tblCellMar>
        </w:tblPrEx>
        <w:trPr>
          <w:trHeight w:val="540" w:hRule="atLeast"/>
        </w:trPr>
        <w:tc>
          <w:tcPr>
            <w:tcW w:w="371" w:type="pct"/>
            <w:tcBorders>
              <w:top w:val="nil"/>
              <w:left w:val="single" w:color="auto" w:sz="4" w:space="0"/>
              <w:bottom w:val="single" w:color="auto" w:sz="4" w:space="0"/>
              <w:right w:val="single" w:color="auto" w:sz="4" w:space="0"/>
            </w:tcBorders>
            <w:noWrap w:val="0"/>
            <w:vAlign w:val="center"/>
          </w:tcPr>
          <w:p w14:paraId="5919DE5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968" w:type="pct"/>
            <w:tcBorders>
              <w:top w:val="nil"/>
              <w:left w:val="nil"/>
              <w:bottom w:val="single" w:color="auto" w:sz="4" w:space="0"/>
              <w:right w:val="single" w:color="auto" w:sz="4" w:space="0"/>
            </w:tcBorders>
            <w:noWrap w:val="0"/>
            <w:vAlign w:val="center"/>
          </w:tcPr>
          <w:p w14:paraId="5425E464">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配送人员未按要求着工作服</w:t>
            </w:r>
          </w:p>
        </w:tc>
        <w:tc>
          <w:tcPr>
            <w:tcW w:w="396" w:type="pct"/>
            <w:tcBorders>
              <w:top w:val="nil"/>
              <w:left w:val="nil"/>
              <w:bottom w:val="single" w:color="auto" w:sz="4" w:space="0"/>
              <w:right w:val="single" w:color="auto" w:sz="4" w:space="0"/>
            </w:tcBorders>
            <w:noWrap w:val="0"/>
            <w:vAlign w:val="center"/>
          </w:tcPr>
          <w:p w14:paraId="081AAD0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57072637">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每出现一次上述的情况扣0.5分，扣完为止。</w:t>
            </w:r>
          </w:p>
        </w:tc>
        <w:tc>
          <w:tcPr>
            <w:tcW w:w="734" w:type="pct"/>
            <w:tcBorders>
              <w:top w:val="nil"/>
              <w:left w:val="nil"/>
              <w:bottom w:val="single" w:color="auto" w:sz="4" w:space="0"/>
              <w:right w:val="single" w:color="auto" w:sz="4" w:space="0"/>
            </w:tcBorders>
            <w:noWrap w:val="0"/>
            <w:vAlign w:val="center"/>
          </w:tcPr>
          <w:p w14:paraId="6A3E2F1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2E1B19D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C407126">
        <w:tblPrEx>
          <w:tblCellMar>
            <w:top w:w="0" w:type="dxa"/>
            <w:left w:w="108" w:type="dxa"/>
            <w:bottom w:w="0" w:type="dxa"/>
            <w:right w:w="108" w:type="dxa"/>
          </w:tblCellMar>
        </w:tblPrEx>
        <w:trPr>
          <w:trHeight w:val="423" w:hRule="atLeast"/>
        </w:trPr>
        <w:tc>
          <w:tcPr>
            <w:tcW w:w="371" w:type="pct"/>
            <w:tcBorders>
              <w:top w:val="nil"/>
              <w:left w:val="single" w:color="auto" w:sz="4" w:space="0"/>
              <w:bottom w:val="single" w:color="auto" w:sz="4" w:space="0"/>
              <w:right w:val="single" w:color="auto" w:sz="4" w:space="0"/>
            </w:tcBorders>
            <w:noWrap w:val="0"/>
            <w:vAlign w:val="center"/>
          </w:tcPr>
          <w:p w14:paraId="53795FA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968" w:type="pct"/>
            <w:tcBorders>
              <w:top w:val="nil"/>
              <w:left w:val="nil"/>
              <w:bottom w:val="single" w:color="auto" w:sz="4" w:space="0"/>
              <w:right w:val="single" w:color="auto" w:sz="4" w:space="0"/>
            </w:tcBorders>
            <w:noWrap w:val="0"/>
            <w:vAlign w:val="center"/>
          </w:tcPr>
          <w:p w14:paraId="486626F0">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服务配合度：即配合采购能力、特殊需求配合程序等（如遇需退货、换货、临时加减货等特殊情况，是否积极配合并在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规定时间内及时解决。服务响应时间是否是在</w:t>
            </w:r>
            <w:r>
              <w:rPr>
                <w:rFonts w:hint="eastAsia" w:ascii="宋体" w:hAnsi="宋体" w:eastAsia="宋体" w:cs="宋体"/>
                <w:color w:val="auto"/>
                <w:kern w:val="0"/>
                <w:sz w:val="21"/>
                <w:szCs w:val="21"/>
                <w:highlight w:val="none"/>
                <w:lang w:val="en-US" w:eastAsia="zh-CN"/>
              </w:rPr>
              <w:t>招投标</w:t>
            </w:r>
            <w:r>
              <w:rPr>
                <w:rFonts w:hint="eastAsia" w:ascii="宋体" w:hAnsi="宋体" w:eastAsia="宋体" w:cs="宋体"/>
                <w:color w:val="auto"/>
                <w:kern w:val="0"/>
                <w:sz w:val="21"/>
                <w:szCs w:val="21"/>
                <w:highlight w:val="none"/>
              </w:rPr>
              <w:t>时承诺的时间内）</w:t>
            </w:r>
          </w:p>
        </w:tc>
        <w:tc>
          <w:tcPr>
            <w:tcW w:w="396" w:type="pct"/>
            <w:tcBorders>
              <w:top w:val="nil"/>
              <w:left w:val="nil"/>
              <w:bottom w:val="single" w:color="auto" w:sz="4" w:space="0"/>
              <w:right w:val="single" w:color="auto" w:sz="4" w:space="0"/>
            </w:tcBorders>
            <w:noWrap w:val="0"/>
            <w:vAlign w:val="center"/>
          </w:tcPr>
          <w:p w14:paraId="4ECE6F80">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382FF0C5">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每延误一次扣0.5分；每出现一次拒绝</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退货、换货、临时加减货要求的，扣0.5分，扣完为止。</w:t>
            </w:r>
          </w:p>
        </w:tc>
        <w:tc>
          <w:tcPr>
            <w:tcW w:w="734" w:type="pct"/>
            <w:tcBorders>
              <w:top w:val="nil"/>
              <w:left w:val="nil"/>
              <w:bottom w:val="single" w:color="auto" w:sz="4" w:space="0"/>
              <w:right w:val="single" w:color="auto" w:sz="4" w:space="0"/>
            </w:tcBorders>
            <w:noWrap w:val="0"/>
            <w:vAlign w:val="center"/>
          </w:tcPr>
          <w:p w14:paraId="2D2F75E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014361F5">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1BA36C1">
        <w:tblPrEx>
          <w:tblCellMar>
            <w:top w:w="0" w:type="dxa"/>
            <w:left w:w="108" w:type="dxa"/>
            <w:bottom w:w="0" w:type="dxa"/>
            <w:right w:w="108" w:type="dxa"/>
          </w:tblCellMar>
        </w:tblPrEx>
        <w:trPr>
          <w:trHeight w:val="1080" w:hRule="atLeast"/>
        </w:trPr>
        <w:tc>
          <w:tcPr>
            <w:tcW w:w="371" w:type="pct"/>
            <w:tcBorders>
              <w:top w:val="nil"/>
              <w:left w:val="single" w:color="auto" w:sz="4" w:space="0"/>
              <w:bottom w:val="single" w:color="auto" w:sz="4" w:space="0"/>
              <w:right w:val="single" w:color="auto" w:sz="4" w:space="0"/>
            </w:tcBorders>
            <w:noWrap w:val="0"/>
            <w:vAlign w:val="center"/>
          </w:tcPr>
          <w:p w14:paraId="1EB80AC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968" w:type="pct"/>
            <w:tcBorders>
              <w:top w:val="nil"/>
              <w:left w:val="nil"/>
              <w:bottom w:val="single" w:color="auto" w:sz="4" w:space="0"/>
              <w:right w:val="single" w:color="auto" w:sz="4" w:space="0"/>
            </w:tcBorders>
            <w:noWrap w:val="0"/>
            <w:vAlign w:val="center"/>
          </w:tcPr>
          <w:p w14:paraId="0409DC7C">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服务态度：</w:t>
            </w:r>
            <w:r>
              <w:rPr>
                <w:rFonts w:hint="eastAsia" w:ascii="宋体" w:hAnsi="宋体" w:eastAsia="宋体" w:cs="宋体"/>
                <w:color w:val="auto"/>
                <w:kern w:val="0"/>
                <w:sz w:val="21"/>
                <w:szCs w:val="21"/>
                <w:highlight w:val="none"/>
                <w:lang w:eastAsia="zh-CN"/>
              </w:rPr>
              <w:t>中标供应商</w:t>
            </w:r>
            <w:r>
              <w:rPr>
                <w:rFonts w:hint="eastAsia" w:ascii="宋体" w:hAnsi="宋体" w:eastAsia="宋体" w:cs="宋体"/>
                <w:color w:val="auto"/>
                <w:kern w:val="0"/>
                <w:sz w:val="21"/>
                <w:szCs w:val="21"/>
                <w:highlight w:val="none"/>
              </w:rPr>
              <w:t>配送人员应做到工作认真、服务热情周到、着装得体、</w:t>
            </w:r>
            <w:bookmarkStart w:id="22" w:name="OLE_LINK172"/>
            <w:bookmarkStart w:id="23" w:name="OLE_LINK171"/>
            <w:bookmarkStart w:id="24" w:name="OLE_LINK166"/>
            <w:bookmarkStart w:id="25" w:name="OLE_LINK165"/>
            <w:r>
              <w:rPr>
                <w:rFonts w:hint="eastAsia" w:ascii="宋体" w:hAnsi="宋体" w:eastAsia="宋体" w:cs="宋体"/>
                <w:color w:val="auto"/>
                <w:kern w:val="0"/>
                <w:sz w:val="21"/>
                <w:szCs w:val="21"/>
                <w:highlight w:val="none"/>
              </w:rPr>
              <w:t>文明搬</w:t>
            </w:r>
            <w:bookmarkEnd w:id="22"/>
            <w:bookmarkEnd w:id="23"/>
            <w:r>
              <w:rPr>
                <w:rFonts w:hint="eastAsia" w:ascii="宋体" w:hAnsi="宋体" w:eastAsia="宋体" w:cs="宋体"/>
                <w:color w:val="auto"/>
                <w:kern w:val="0"/>
                <w:sz w:val="21"/>
                <w:szCs w:val="21"/>
                <w:highlight w:val="none"/>
              </w:rPr>
              <w:t>装</w:t>
            </w:r>
            <w:bookmarkEnd w:id="24"/>
            <w:bookmarkEnd w:id="25"/>
            <w:r>
              <w:rPr>
                <w:rFonts w:hint="eastAsia" w:ascii="宋体" w:hAnsi="宋体" w:eastAsia="宋体" w:cs="宋体"/>
                <w:color w:val="auto"/>
                <w:kern w:val="0"/>
                <w:sz w:val="21"/>
                <w:szCs w:val="21"/>
                <w:highlight w:val="none"/>
              </w:rPr>
              <w:t>等</w:t>
            </w:r>
          </w:p>
        </w:tc>
        <w:tc>
          <w:tcPr>
            <w:tcW w:w="396" w:type="pct"/>
            <w:tcBorders>
              <w:top w:val="nil"/>
              <w:left w:val="nil"/>
              <w:bottom w:val="single" w:color="auto" w:sz="4" w:space="0"/>
              <w:right w:val="single" w:color="auto" w:sz="4" w:space="0"/>
            </w:tcBorders>
            <w:noWrap w:val="0"/>
            <w:vAlign w:val="center"/>
          </w:tcPr>
          <w:p w14:paraId="7A09481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86" w:type="pct"/>
            <w:tcBorders>
              <w:top w:val="nil"/>
              <w:left w:val="nil"/>
              <w:bottom w:val="single" w:color="auto" w:sz="4" w:space="0"/>
              <w:right w:val="single" w:color="auto" w:sz="4" w:space="0"/>
            </w:tcBorders>
            <w:noWrap w:val="0"/>
            <w:vAlign w:val="center"/>
          </w:tcPr>
          <w:p w14:paraId="74EC5665">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每出现一次服务态度不好、着装不得体或与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发生争执的扣0.5分，扣完为止。</w:t>
            </w:r>
          </w:p>
        </w:tc>
        <w:tc>
          <w:tcPr>
            <w:tcW w:w="734" w:type="pct"/>
            <w:tcBorders>
              <w:top w:val="nil"/>
              <w:left w:val="nil"/>
              <w:bottom w:val="single" w:color="auto" w:sz="4" w:space="0"/>
              <w:right w:val="single" w:color="auto" w:sz="4" w:space="0"/>
            </w:tcBorders>
            <w:noWrap w:val="0"/>
            <w:vAlign w:val="center"/>
          </w:tcPr>
          <w:p w14:paraId="6E1FC8E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466C36E0">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E545A74">
        <w:tblPrEx>
          <w:tblCellMar>
            <w:top w:w="0" w:type="dxa"/>
            <w:left w:w="108" w:type="dxa"/>
            <w:bottom w:w="0" w:type="dxa"/>
            <w:right w:w="108" w:type="dxa"/>
          </w:tblCellMar>
        </w:tblPrEx>
        <w:trPr>
          <w:trHeight w:val="810" w:hRule="atLeast"/>
        </w:trPr>
        <w:tc>
          <w:tcPr>
            <w:tcW w:w="371" w:type="pct"/>
            <w:tcBorders>
              <w:top w:val="nil"/>
              <w:left w:val="single" w:color="auto" w:sz="4" w:space="0"/>
              <w:bottom w:val="single" w:color="auto" w:sz="4" w:space="0"/>
              <w:right w:val="single" w:color="auto" w:sz="4" w:space="0"/>
            </w:tcBorders>
            <w:noWrap w:val="0"/>
            <w:vAlign w:val="center"/>
          </w:tcPr>
          <w:p w14:paraId="69E8B61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1968" w:type="pct"/>
            <w:tcBorders>
              <w:top w:val="nil"/>
              <w:left w:val="nil"/>
              <w:bottom w:val="single" w:color="auto" w:sz="4" w:space="0"/>
              <w:right w:val="single" w:color="auto" w:sz="4" w:space="0"/>
            </w:tcBorders>
            <w:noWrap w:val="0"/>
            <w:vAlign w:val="center"/>
          </w:tcPr>
          <w:p w14:paraId="2BDCDA54">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提供票据及时性：每月按照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人</w:t>
            </w:r>
            <w:r>
              <w:rPr>
                <w:rFonts w:hint="eastAsia" w:ascii="宋体" w:hAnsi="宋体" w:eastAsia="宋体" w:cs="宋体"/>
                <w:color w:val="auto"/>
                <w:kern w:val="0"/>
                <w:sz w:val="21"/>
                <w:szCs w:val="21"/>
                <w:highlight w:val="none"/>
              </w:rPr>
              <w:t>要求的内容、时间及时提供相应票据、报表给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审核</w:t>
            </w:r>
          </w:p>
        </w:tc>
        <w:tc>
          <w:tcPr>
            <w:tcW w:w="396" w:type="pct"/>
            <w:tcBorders>
              <w:top w:val="nil"/>
              <w:left w:val="nil"/>
              <w:bottom w:val="single" w:color="auto" w:sz="4" w:space="0"/>
              <w:right w:val="single" w:color="auto" w:sz="4" w:space="0"/>
            </w:tcBorders>
            <w:noWrap w:val="0"/>
            <w:vAlign w:val="center"/>
          </w:tcPr>
          <w:p w14:paraId="5203F14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86" w:type="pct"/>
            <w:tcBorders>
              <w:top w:val="nil"/>
              <w:left w:val="nil"/>
              <w:bottom w:val="single" w:color="auto" w:sz="4" w:space="0"/>
              <w:right w:val="single" w:color="auto" w:sz="4" w:space="0"/>
            </w:tcBorders>
            <w:noWrap w:val="0"/>
            <w:vAlign w:val="center"/>
          </w:tcPr>
          <w:p w14:paraId="195E0B1B">
            <w:pPr>
              <w:widowControl/>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每延误一次扣0.5分，扣完为止。</w:t>
            </w:r>
          </w:p>
        </w:tc>
        <w:tc>
          <w:tcPr>
            <w:tcW w:w="734" w:type="pct"/>
            <w:tcBorders>
              <w:top w:val="nil"/>
              <w:left w:val="nil"/>
              <w:bottom w:val="single" w:color="auto" w:sz="4" w:space="0"/>
              <w:right w:val="single" w:color="auto" w:sz="4" w:space="0"/>
            </w:tcBorders>
            <w:noWrap w:val="0"/>
            <w:vAlign w:val="center"/>
          </w:tcPr>
          <w:p w14:paraId="411995B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5C7AACD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6B877EA">
        <w:tblPrEx>
          <w:tblCellMar>
            <w:top w:w="0" w:type="dxa"/>
            <w:left w:w="108" w:type="dxa"/>
            <w:bottom w:w="0" w:type="dxa"/>
            <w:right w:w="108" w:type="dxa"/>
          </w:tblCellMar>
        </w:tblPrEx>
        <w:trPr>
          <w:trHeight w:val="90" w:hRule="atLeast"/>
        </w:trPr>
        <w:tc>
          <w:tcPr>
            <w:tcW w:w="371" w:type="pct"/>
            <w:tcBorders>
              <w:top w:val="nil"/>
              <w:left w:val="single" w:color="auto" w:sz="4" w:space="0"/>
              <w:bottom w:val="single" w:color="auto" w:sz="4" w:space="0"/>
              <w:right w:val="single" w:color="auto" w:sz="4" w:space="0"/>
            </w:tcBorders>
            <w:noWrap w:val="0"/>
            <w:vAlign w:val="center"/>
          </w:tcPr>
          <w:p w14:paraId="44894E2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1968" w:type="pct"/>
            <w:tcBorders>
              <w:top w:val="nil"/>
              <w:left w:val="nil"/>
              <w:bottom w:val="single" w:color="auto" w:sz="4" w:space="0"/>
              <w:right w:val="single" w:color="auto" w:sz="4" w:space="0"/>
            </w:tcBorders>
            <w:noWrap w:val="0"/>
            <w:vAlign w:val="center"/>
          </w:tcPr>
          <w:p w14:paraId="77A62D2D">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不配合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人</w:t>
            </w:r>
            <w:r>
              <w:rPr>
                <w:rFonts w:hint="eastAsia" w:ascii="宋体" w:hAnsi="宋体" w:eastAsia="宋体" w:cs="宋体"/>
                <w:color w:val="auto"/>
                <w:kern w:val="0"/>
                <w:sz w:val="21"/>
                <w:szCs w:val="21"/>
                <w:highlight w:val="none"/>
              </w:rPr>
              <w:t>工作的（如实地检查、提供相关资料的）</w:t>
            </w:r>
          </w:p>
        </w:tc>
        <w:tc>
          <w:tcPr>
            <w:tcW w:w="396" w:type="pct"/>
            <w:tcBorders>
              <w:top w:val="nil"/>
              <w:left w:val="nil"/>
              <w:bottom w:val="single" w:color="auto" w:sz="4" w:space="0"/>
              <w:right w:val="single" w:color="auto" w:sz="4" w:space="0"/>
            </w:tcBorders>
            <w:noWrap w:val="0"/>
            <w:vAlign w:val="center"/>
          </w:tcPr>
          <w:p w14:paraId="616CD15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6" w:type="pct"/>
            <w:tcBorders>
              <w:top w:val="nil"/>
              <w:left w:val="nil"/>
              <w:bottom w:val="single" w:color="auto" w:sz="4" w:space="0"/>
              <w:right w:val="single" w:color="auto" w:sz="4" w:space="0"/>
            </w:tcBorders>
            <w:noWrap w:val="0"/>
            <w:vAlign w:val="center"/>
          </w:tcPr>
          <w:p w14:paraId="0AFA0E64">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每出现一次上述的情况扣5分，扣完为止。</w:t>
            </w:r>
          </w:p>
        </w:tc>
        <w:tc>
          <w:tcPr>
            <w:tcW w:w="734" w:type="pct"/>
            <w:tcBorders>
              <w:top w:val="nil"/>
              <w:left w:val="nil"/>
              <w:bottom w:val="single" w:color="auto" w:sz="4" w:space="0"/>
              <w:right w:val="single" w:color="auto" w:sz="4" w:space="0"/>
            </w:tcBorders>
            <w:noWrap w:val="0"/>
            <w:vAlign w:val="center"/>
          </w:tcPr>
          <w:p w14:paraId="4AF7DB6D">
            <w:pPr>
              <w:widowControl/>
              <w:spacing w:line="360" w:lineRule="auto"/>
              <w:jc w:val="center"/>
              <w:rPr>
                <w:rFonts w:hint="eastAsia" w:ascii="宋体" w:hAnsi="宋体" w:eastAsia="宋体" w:cs="宋体"/>
                <w:color w:val="auto"/>
                <w:kern w:val="0"/>
                <w:sz w:val="21"/>
                <w:szCs w:val="21"/>
                <w:highlight w:val="none"/>
              </w:rPr>
            </w:pPr>
          </w:p>
        </w:tc>
        <w:tc>
          <w:tcPr>
            <w:tcW w:w="442" w:type="pct"/>
            <w:tcBorders>
              <w:top w:val="nil"/>
              <w:left w:val="nil"/>
              <w:bottom w:val="single" w:color="auto" w:sz="4" w:space="0"/>
              <w:right w:val="single" w:color="auto" w:sz="4" w:space="0"/>
            </w:tcBorders>
            <w:noWrap w:val="0"/>
            <w:vAlign w:val="center"/>
          </w:tcPr>
          <w:p w14:paraId="24B6E32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D115E7E">
        <w:tblPrEx>
          <w:tblCellMar>
            <w:top w:w="0" w:type="dxa"/>
            <w:left w:w="108" w:type="dxa"/>
            <w:bottom w:w="0" w:type="dxa"/>
            <w:right w:w="108" w:type="dxa"/>
          </w:tblCellMar>
        </w:tblPrEx>
        <w:trPr>
          <w:trHeight w:val="544" w:hRule="atLeast"/>
        </w:trPr>
        <w:tc>
          <w:tcPr>
            <w:tcW w:w="371" w:type="pct"/>
            <w:tcBorders>
              <w:top w:val="nil"/>
              <w:left w:val="single" w:color="auto" w:sz="4" w:space="0"/>
              <w:bottom w:val="single" w:color="auto" w:sz="4" w:space="0"/>
              <w:right w:val="single" w:color="auto" w:sz="4" w:space="0"/>
            </w:tcBorders>
            <w:noWrap w:val="0"/>
            <w:vAlign w:val="center"/>
          </w:tcPr>
          <w:p w14:paraId="16DE1A3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1968" w:type="pct"/>
            <w:tcBorders>
              <w:top w:val="nil"/>
              <w:left w:val="nil"/>
              <w:bottom w:val="single" w:color="auto" w:sz="4" w:space="0"/>
              <w:right w:val="single" w:color="auto" w:sz="4" w:space="0"/>
            </w:tcBorders>
            <w:noWrap w:val="0"/>
            <w:vAlign w:val="center"/>
          </w:tcPr>
          <w:p w14:paraId="1E9D6AB0">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因配送食材不新鲜等等原因被</w:t>
            </w:r>
            <w:r>
              <w:rPr>
                <w:rFonts w:hint="eastAsia" w:ascii="宋体" w:hAnsi="宋体" w:eastAsia="宋体" w:cs="宋体"/>
                <w:color w:val="auto"/>
                <w:kern w:val="0"/>
                <w:sz w:val="21"/>
                <w:szCs w:val="21"/>
                <w:highlight w:val="none"/>
                <w:lang w:val="en-US" w:eastAsia="zh-CN"/>
              </w:rPr>
              <w:t>采购人职工</w:t>
            </w:r>
            <w:r>
              <w:rPr>
                <w:rFonts w:hint="eastAsia" w:ascii="宋体" w:hAnsi="宋体" w:eastAsia="宋体" w:cs="宋体"/>
                <w:color w:val="auto"/>
                <w:kern w:val="0"/>
                <w:sz w:val="21"/>
                <w:szCs w:val="21"/>
                <w:highlight w:val="none"/>
                <w:lang w:eastAsia="zh-CN"/>
              </w:rPr>
              <w:t>投诉，情况属实的</w:t>
            </w:r>
          </w:p>
        </w:tc>
        <w:tc>
          <w:tcPr>
            <w:tcW w:w="396" w:type="pct"/>
            <w:tcBorders>
              <w:top w:val="nil"/>
              <w:left w:val="nil"/>
              <w:bottom w:val="single" w:color="auto" w:sz="4" w:space="0"/>
              <w:right w:val="single" w:color="auto" w:sz="4" w:space="0"/>
            </w:tcBorders>
            <w:noWrap w:val="0"/>
            <w:vAlign w:val="center"/>
          </w:tcPr>
          <w:p w14:paraId="12EAB5C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086" w:type="pct"/>
            <w:tcBorders>
              <w:top w:val="nil"/>
              <w:left w:val="nil"/>
              <w:bottom w:val="single" w:color="auto" w:sz="4" w:space="0"/>
              <w:right w:val="single" w:color="auto" w:sz="4" w:space="0"/>
            </w:tcBorders>
            <w:noWrap w:val="0"/>
            <w:vAlign w:val="center"/>
          </w:tcPr>
          <w:p w14:paraId="090090C1">
            <w:pPr>
              <w:widowControl/>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每次扣2分。</w:t>
            </w:r>
          </w:p>
        </w:tc>
        <w:tc>
          <w:tcPr>
            <w:tcW w:w="734" w:type="pct"/>
            <w:tcBorders>
              <w:top w:val="nil"/>
              <w:left w:val="nil"/>
              <w:bottom w:val="single" w:color="auto" w:sz="4" w:space="0"/>
              <w:right w:val="single" w:color="auto" w:sz="4" w:space="0"/>
            </w:tcBorders>
            <w:noWrap w:val="0"/>
            <w:vAlign w:val="center"/>
          </w:tcPr>
          <w:p w14:paraId="6235F8A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42" w:type="pct"/>
            <w:tcBorders>
              <w:top w:val="nil"/>
              <w:left w:val="nil"/>
              <w:bottom w:val="single" w:color="auto" w:sz="4" w:space="0"/>
              <w:right w:val="single" w:color="auto" w:sz="4" w:space="0"/>
            </w:tcBorders>
            <w:noWrap w:val="0"/>
            <w:vAlign w:val="center"/>
          </w:tcPr>
          <w:p w14:paraId="3CE31C1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C23D2EC">
        <w:tblPrEx>
          <w:tblCellMar>
            <w:top w:w="0" w:type="dxa"/>
            <w:left w:w="108" w:type="dxa"/>
            <w:bottom w:w="0" w:type="dxa"/>
            <w:right w:w="108" w:type="dxa"/>
          </w:tblCellMar>
        </w:tblPrEx>
        <w:trPr>
          <w:trHeight w:val="270" w:hRule="atLeast"/>
        </w:trPr>
        <w:tc>
          <w:tcPr>
            <w:tcW w:w="371" w:type="pct"/>
            <w:tcBorders>
              <w:top w:val="nil"/>
              <w:left w:val="single" w:color="auto" w:sz="4" w:space="0"/>
              <w:bottom w:val="single" w:color="auto" w:sz="4" w:space="0"/>
              <w:right w:val="single" w:color="auto" w:sz="4" w:space="0"/>
            </w:tcBorders>
            <w:noWrap w:val="0"/>
            <w:vAlign w:val="center"/>
          </w:tcPr>
          <w:p w14:paraId="0153B533">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合计</w:t>
            </w:r>
          </w:p>
        </w:tc>
        <w:tc>
          <w:tcPr>
            <w:tcW w:w="4628" w:type="pct"/>
            <w:gridSpan w:val="5"/>
            <w:tcBorders>
              <w:top w:val="single" w:color="auto" w:sz="4" w:space="0"/>
              <w:left w:val="nil"/>
              <w:bottom w:val="single" w:color="auto" w:sz="4" w:space="0"/>
              <w:right w:val="single" w:color="auto" w:sz="4" w:space="0"/>
            </w:tcBorders>
            <w:noWrap w:val="0"/>
            <w:vAlign w:val="center"/>
          </w:tcPr>
          <w:p w14:paraId="52928883">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100分</w:t>
            </w:r>
          </w:p>
        </w:tc>
      </w:tr>
      <w:bookmarkEnd w:id="6"/>
    </w:tbl>
    <w:p w14:paraId="0DF564A8">
      <w:pPr>
        <w:spacing w:line="360" w:lineRule="auto"/>
        <w:rPr>
          <w:rFonts w:hint="default"/>
          <w:b/>
          <w:bCs/>
          <w:sz w:val="22"/>
          <w:szCs w:val="22"/>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七</w:t>
      </w:r>
      <w:r>
        <w:rPr>
          <w:rFonts w:hint="eastAsia" w:ascii="宋体" w:hAnsi="宋体" w:eastAsia="宋体" w:cs="宋体"/>
          <w:b/>
          <w:bCs/>
          <w:sz w:val="21"/>
          <w:szCs w:val="21"/>
          <w:lang w:eastAsia="zh-CN"/>
        </w:rPr>
        <w:t>）</w:t>
      </w:r>
      <w:r>
        <w:rPr>
          <w:rFonts w:hint="default"/>
          <w:b/>
          <w:bCs/>
          <w:sz w:val="22"/>
          <w:szCs w:val="22"/>
        </w:rPr>
        <w:t>违约责任与退出机制</w:t>
      </w:r>
    </w:p>
    <w:p w14:paraId="716B6C1C">
      <w:pPr>
        <w:pStyle w:val="7"/>
        <w:rPr>
          <w:rFonts w:hint="eastAsia"/>
        </w:rPr>
      </w:pPr>
      <w:r>
        <w:rPr>
          <w:rFonts w:hint="eastAsia"/>
        </w:rPr>
        <w:t>1. 合同终止情形（出现以下任一，采购人有权单方终止合同）</w:t>
      </w:r>
    </w:p>
    <w:p w14:paraId="02C844AB">
      <w:pPr>
        <w:pStyle w:val="7"/>
        <w:rPr>
          <w:rFonts w:hint="eastAsia"/>
        </w:rPr>
      </w:pPr>
      <w:r>
        <w:rPr>
          <w:rFonts w:hint="eastAsia"/>
          <w:lang w:val="en-US" w:eastAsia="zh-CN"/>
        </w:rPr>
        <w:t>1.1</w:t>
      </w:r>
      <w:r>
        <w:rPr>
          <w:rFonts w:hint="eastAsia"/>
        </w:rPr>
        <w:t>违反国家有关食品安全法律法规或发生食品安全事故，被有关监管部门责令停业整顿或取消相关资质的；</w:t>
      </w:r>
    </w:p>
    <w:p w14:paraId="13FEC525">
      <w:pPr>
        <w:pStyle w:val="7"/>
        <w:rPr>
          <w:rFonts w:hint="eastAsia"/>
        </w:rPr>
      </w:pPr>
      <w:r>
        <w:rPr>
          <w:rFonts w:hint="eastAsia"/>
          <w:lang w:val="en-US" w:eastAsia="zh-CN"/>
        </w:rPr>
        <w:t>1.2</w:t>
      </w:r>
      <w:r>
        <w:rPr>
          <w:rFonts w:hint="eastAsia"/>
        </w:rPr>
        <w:t>被市场监管等有关部门列入严重违法失信名单的；</w:t>
      </w:r>
    </w:p>
    <w:p w14:paraId="3D0BC230">
      <w:pPr>
        <w:pStyle w:val="7"/>
        <w:rPr>
          <w:rFonts w:hint="eastAsia"/>
        </w:rPr>
      </w:pPr>
      <w:r>
        <w:rPr>
          <w:rFonts w:hint="eastAsia"/>
          <w:lang w:val="en-US" w:eastAsia="zh-CN"/>
        </w:rPr>
        <w:t>1.3</w:t>
      </w:r>
      <w:r>
        <w:rPr>
          <w:rFonts w:hint="eastAsia"/>
        </w:rPr>
        <w:t>采购人主管部门、市场监管等有关部门在监督检查中发现食品安全隐患，拒不整改或限期整改不到位的；</w:t>
      </w:r>
    </w:p>
    <w:p w14:paraId="449E6879">
      <w:pPr>
        <w:pStyle w:val="7"/>
        <w:rPr>
          <w:rFonts w:hint="eastAsia"/>
        </w:rPr>
      </w:pPr>
      <w:r>
        <w:rPr>
          <w:rFonts w:hint="eastAsia"/>
          <w:lang w:val="en-US" w:eastAsia="zh-CN"/>
        </w:rPr>
        <w:t>1.4</w:t>
      </w:r>
      <w:r>
        <w:rPr>
          <w:rFonts w:hint="eastAsia"/>
        </w:rPr>
        <w:t>按本合同第六章考核办法，连续两次低于85分且第三次考核仍低于85分的；</w:t>
      </w:r>
    </w:p>
    <w:p w14:paraId="35D49016">
      <w:pPr>
        <w:pStyle w:val="7"/>
        <w:rPr>
          <w:rFonts w:hint="eastAsia"/>
        </w:rPr>
      </w:pPr>
      <w:r>
        <w:rPr>
          <w:rFonts w:hint="eastAsia"/>
          <w:lang w:val="en-US" w:eastAsia="zh-CN"/>
        </w:rPr>
        <w:t>1.5</w:t>
      </w:r>
      <w:r>
        <w:rPr>
          <w:rFonts w:hint="eastAsia"/>
        </w:rPr>
        <w:t>出现转包、分包情况的；</w:t>
      </w:r>
    </w:p>
    <w:p w14:paraId="5CDB80C3">
      <w:pPr>
        <w:pStyle w:val="7"/>
        <w:rPr>
          <w:rFonts w:hint="eastAsia"/>
        </w:rPr>
      </w:pPr>
      <w:r>
        <w:rPr>
          <w:rFonts w:hint="eastAsia"/>
          <w:lang w:val="en-US" w:eastAsia="zh-CN"/>
        </w:rPr>
        <w:t>1.6</w:t>
      </w:r>
      <w:r>
        <w:rPr>
          <w:rFonts w:hint="eastAsia"/>
        </w:rPr>
        <w:t>虚报、隐瞒供货食品市场价，存在欺骗行为的。</w:t>
      </w:r>
    </w:p>
    <w:p w14:paraId="3572ABF9">
      <w:pPr>
        <w:pStyle w:val="7"/>
        <w:rPr>
          <w:rFonts w:hint="eastAsia"/>
        </w:rPr>
      </w:pPr>
      <w:r>
        <w:rPr>
          <w:rFonts w:hint="eastAsia"/>
        </w:rPr>
        <w:t>2. 其他违约责任</w:t>
      </w:r>
    </w:p>
    <w:p w14:paraId="380AE96C">
      <w:pPr>
        <w:pStyle w:val="7"/>
        <w:rPr>
          <w:rFonts w:hint="eastAsia"/>
        </w:rPr>
      </w:pPr>
      <w:r>
        <w:rPr>
          <w:rFonts w:hint="eastAsia"/>
          <w:lang w:val="en-US" w:eastAsia="zh-CN"/>
        </w:rPr>
        <w:t>2.1</w:t>
      </w:r>
      <w:r>
        <w:rPr>
          <w:rFonts w:hint="eastAsia"/>
        </w:rPr>
        <w:t>中标供应商不得以任何方式转包或分包本项目，一经发现，采购人有权终止合同。</w:t>
      </w:r>
    </w:p>
    <w:p w14:paraId="068F9BCD">
      <w:pPr>
        <w:pStyle w:val="7"/>
        <w:rPr>
          <w:rFonts w:hint="eastAsia"/>
        </w:rPr>
      </w:pPr>
      <w:r>
        <w:rPr>
          <w:rFonts w:hint="eastAsia"/>
          <w:lang w:val="en-US" w:eastAsia="zh-CN"/>
        </w:rPr>
        <w:t>2.2</w:t>
      </w:r>
      <w:r>
        <w:rPr>
          <w:rFonts w:hint="eastAsia"/>
        </w:rPr>
        <w:t>中标供应商工作人员进入采购人场地，必须严格遵守采购人的管理和安排，否则采购人有权将中标供应商工作人员驱离场地，并禁止该人员再次进入采购人场地。</w:t>
      </w:r>
    </w:p>
    <w:p w14:paraId="2FDB0D64">
      <w:pPr>
        <w:pStyle w:val="7"/>
        <w:rPr>
          <w:rFonts w:hint="eastAsia"/>
        </w:rPr>
      </w:pPr>
      <w:r>
        <w:rPr>
          <w:rFonts w:hint="eastAsia"/>
          <w:lang w:val="en-US" w:eastAsia="zh-CN"/>
        </w:rPr>
        <w:t>2.3</w:t>
      </w:r>
      <w:r>
        <w:rPr>
          <w:rFonts w:hint="eastAsia"/>
        </w:rPr>
        <w:t>中标供应商工作人员不得接触采购人管理的病患人员，对因进入采购人场所知悉的采购人工作秘密，不得泄露和扩散，否则一经发现，将追究当事人法律责任，采购人有权解除合同。</w:t>
      </w:r>
    </w:p>
    <w:p w14:paraId="77935DC2">
      <w:pPr>
        <w:pStyle w:val="7"/>
        <w:rPr>
          <w:rFonts w:hint="eastAsia"/>
        </w:rPr>
      </w:pPr>
      <w:r>
        <w:rPr>
          <w:rFonts w:hint="eastAsia"/>
          <w:lang w:val="en-US" w:eastAsia="zh-CN"/>
        </w:rPr>
        <w:t>2.4</w:t>
      </w:r>
      <w:r>
        <w:rPr>
          <w:rFonts w:hint="eastAsia"/>
        </w:rPr>
        <w:t>中标供应商自主经营，自负盈亏。有权自主聘用、调用工作人员，但必须将所进入中标供应商场所的人员名册报采购人备案并附人员身份证明材料。中标供应商更换进入采购人场所人员的，亦须向采购人申报上述资料且经采购人同意，方可更换。</w:t>
      </w:r>
    </w:p>
    <w:p w14:paraId="37E214E4">
      <w:pPr>
        <w:pStyle w:val="7"/>
        <w:rPr>
          <w:rFonts w:hint="eastAsia"/>
        </w:rPr>
      </w:pPr>
      <w:r>
        <w:rPr>
          <w:rFonts w:hint="eastAsia"/>
          <w:lang w:val="en-US" w:eastAsia="zh-CN"/>
        </w:rPr>
        <w:t>2.5</w:t>
      </w:r>
      <w:r>
        <w:rPr>
          <w:rFonts w:hint="eastAsia"/>
        </w:rPr>
        <w:t>根据实际需要或特殊要求，采购人有权向第三方购买因中标供应商不能供应或者不能提供特定质量、规格、包装的商品。在过程中如需中标供应商配合的，中标供应商必须配合采购人采购。</w:t>
      </w:r>
    </w:p>
    <w:p w14:paraId="7336B5AD">
      <w:pPr>
        <w:pStyle w:val="7"/>
        <w:rPr>
          <w:rFonts w:hint="eastAsia"/>
        </w:rPr>
      </w:pPr>
      <w:r>
        <w:rPr>
          <w:rFonts w:hint="eastAsia"/>
          <w:lang w:val="en-US" w:eastAsia="zh-CN"/>
        </w:rPr>
        <w:t>2.6</w:t>
      </w:r>
      <w:r>
        <w:rPr>
          <w:rFonts w:hint="eastAsia"/>
        </w:rPr>
        <w:t>采购人因工作原因、管理需要、上级要求或其他原因等，在合同执行过程中需暂停全部或部分食材配送服务的（比如采购人或者上级部门要求采购扶贫产品），中标供应商必须配合，中标供应商因此可能遭受的损失，采购人概不负责，由中标供应商自行承担。</w:t>
      </w:r>
    </w:p>
    <w:p w14:paraId="3FF60DB3">
      <w:pPr>
        <w:pStyle w:val="7"/>
        <w:rPr>
          <w:rFonts w:hint="eastAsia"/>
        </w:rPr>
      </w:pPr>
      <w:r>
        <w:rPr>
          <w:rFonts w:hint="eastAsia"/>
          <w:lang w:val="en-US" w:eastAsia="zh-CN"/>
        </w:rPr>
        <w:t>2.7</w:t>
      </w:r>
      <w:r>
        <w:rPr>
          <w:rFonts w:hint="eastAsia"/>
        </w:rPr>
        <w:t>在履行本项目的全部过程中，凡出现安全事故（含食品安全及交通安全事故）由供应商自行承担全部法律责任和赔偿所有经济损失。</w:t>
      </w:r>
    </w:p>
    <w:p w14:paraId="2511F7B7">
      <w:pPr>
        <w:spacing w:line="360" w:lineRule="auto"/>
        <w:rPr>
          <w:sz w:val="21"/>
          <w:szCs w:val="21"/>
        </w:rPr>
        <w:sectPr>
          <w:headerReference r:id="rId3" w:type="default"/>
          <w:footerReference r:id="rId4" w:type="default"/>
          <w:pgSz w:w="11906" w:h="16838"/>
          <w:pgMar w:top="1440" w:right="1440" w:bottom="1440" w:left="1800" w:header="851" w:footer="992" w:gutter="0"/>
          <w:cols w:space="720" w:num="1"/>
          <w:docGrid w:type="lines" w:linePitch="312" w:charSpace="0"/>
        </w:sectPr>
      </w:pPr>
    </w:p>
    <w:p w14:paraId="32B06FD2">
      <w:pPr>
        <w:spacing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二、商务要求</w:t>
      </w:r>
    </w:p>
    <w:p w14:paraId="1577C2A3">
      <w:pPr>
        <w:pStyle w:val="7"/>
        <w:rPr>
          <w:rFonts w:hint="eastAsia"/>
        </w:rPr>
      </w:pPr>
      <w:r>
        <w:rPr>
          <w:rFonts w:hint="eastAsia"/>
        </w:rPr>
        <w:t>1. 采购（配送）地点</w:t>
      </w:r>
    </w:p>
    <w:p w14:paraId="6427E626">
      <w:pPr>
        <w:pStyle w:val="7"/>
        <w:rPr>
          <w:rFonts w:hint="eastAsia"/>
        </w:rPr>
      </w:pPr>
      <w:r>
        <w:rPr>
          <w:rFonts w:hint="eastAsia"/>
        </w:rPr>
        <w:t>上饶市第三人民医院（总院、横峰分院）。</w:t>
      </w:r>
    </w:p>
    <w:p w14:paraId="7D754503">
      <w:pPr>
        <w:pStyle w:val="7"/>
        <w:rPr>
          <w:rFonts w:hint="eastAsia"/>
        </w:rPr>
      </w:pPr>
      <w:r>
        <w:rPr>
          <w:rFonts w:hint="eastAsia"/>
        </w:rPr>
        <w:t>2. 合同期限</w:t>
      </w:r>
    </w:p>
    <w:p w14:paraId="6F4561FF">
      <w:pPr>
        <w:pStyle w:val="7"/>
        <w:rPr>
          <w:rFonts w:hint="eastAsia"/>
        </w:rPr>
      </w:pPr>
      <w:r>
        <w:rPr>
          <w:rFonts w:hint="eastAsia"/>
        </w:rPr>
        <w:t>合同期2年，实行“1+1”模式，首期合同1年，期满经考核合格可续签1年，考核不合格即刻终止合同。</w:t>
      </w:r>
    </w:p>
    <w:p w14:paraId="06AA78C7">
      <w:pPr>
        <w:pStyle w:val="7"/>
        <w:rPr>
          <w:rFonts w:hint="eastAsia"/>
        </w:rPr>
      </w:pPr>
      <w:r>
        <w:rPr>
          <w:rFonts w:hint="eastAsia"/>
        </w:rPr>
        <w:t>3. 付款方式</w:t>
      </w:r>
    </w:p>
    <w:p w14:paraId="48CE50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月结，按照上月实际供货数量进行结算。</w:t>
      </w:r>
      <w:r>
        <w:rPr>
          <w:rFonts w:hint="eastAsia"/>
          <w:lang w:eastAsia="zh-CN"/>
        </w:rPr>
        <w:t>收到配送企业并</w:t>
      </w:r>
      <w:r>
        <w:rPr>
          <w:rFonts w:hint="eastAsia"/>
        </w:rPr>
        <w:t>经采购人确定的收货单和税务发票等相关材料</w:t>
      </w:r>
      <w:r>
        <w:rPr>
          <w:rFonts w:hint="eastAsia"/>
          <w:lang w:eastAsia="zh-CN"/>
        </w:rPr>
        <w:t>后</w:t>
      </w:r>
      <w:r>
        <w:rPr>
          <w:rFonts w:hint="eastAsia"/>
          <w:lang w:val="en-US" w:eastAsia="zh-CN"/>
        </w:rPr>
        <w:t>30日内支付，</w:t>
      </w:r>
      <w:r>
        <w:rPr>
          <w:rFonts w:hint="eastAsia"/>
        </w:rPr>
        <w:t>配送企业所付款项均为无息。结算价格按本需求第三章执行。</w:t>
      </w:r>
    </w:p>
    <w:p w14:paraId="4B18FBED">
      <w:pPr>
        <w:pStyle w:val="7"/>
        <w:rPr>
          <w:rFonts w:hint="eastAsia"/>
        </w:rPr>
      </w:pPr>
      <w:r>
        <w:rPr>
          <w:rFonts w:hint="eastAsia"/>
        </w:rPr>
        <w:t>4. 采购数量说明</w:t>
      </w:r>
      <w:bookmarkStart w:id="26" w:name="_GoBack"/>
      <w:bookmarkEnd w:id="26"/>
    </w:p>
    <w:p w14:paraId="2E8EE56C">
      <w:pPr>
        <w:pStyle w:val="7"/>
        <w:rPr>
          <w:rFonts w:hint="eastAsia"/>
        </w:rPr>
      </w:pPr>
      <w:r>
        <w:rPr>
          <w:rFonts w:hint="eastAsia"/>
        </w:rPr>
        <w:t>采购人根据实际情况向中标供应商采购其所需的食材，采购人不保证配送数量和金额，具体配送数量和金额以实际发生为准。最终供货食品及数量以采购人提前一天以电话、微信、电子邮件、书面采购单等形式通知为准。采购人有权对供货清单作适当修改调整或对食品数量作适量增加或减少，实际送单一品种的量不超出采购人预计量的10%的浮动范围，以双方当场验货签字的数量、规格为准。</w:t>
      </w:r>
    </w:p>
    <w:p w14:paraId="6CC8188D">
      <w:pPr>
        <w:pStyle w:val="7"/>
        <w:rPr>
          <w:rFonts w:hint="eastAsia"/>
        </w:rPr>
      </w:pPr>
      <w:r>
        <w:rPr>
          <w:rFonts w:hint="eastAsia"/>
        </w:rPr>
        <w:t>5. 报价方式</w:t>
      </w:r>
    </w:p>
    <w:p w14:paraId="268D4C26">
      <w:pPr>
        <w:pStyle w:val="7"/>
        <w:rPr>
          <w:rFonts w:hint="eastAsia"/>
        </w:rPr>
      </w:pPr>
      <w:r>
        <w:rPr>
          <w:rFonts w:hint="eastAsia"/>
        </w:rPr>
        <w:t>本项目采用整体折扣率报价，包含中标供应商的食材成本、配送费、食品安全检验费、食品安全责任风险费、保险费、利润及税金等与执行完成本项目服务可能发生的一切费用。供应商应考虑经济增长物价上涨及自身成本报价。</w:t>
      </w:r>
    </w:p>
    <w:p w14:paraId="5B35C83F">
      <w:pPr>
        <w:pStyle w:val="7"/>
        <w:rPr>
          <w:rFonts w:hint="eastAsia"/>
        </w:rPr>
      </w:pPr>
      <w:r>
        <w:rPr>
          <w:rFonts w:hint="eastAsia"/>
        </w:rPr>
        <w:t>配送价为全包价，以元人民币为结算单位，包含食材的购置、检验、加工、分拣、包装、仓储、运输、装卸、堆放、保险、损耗、退换、售后服务、人员费用、管理费和全额税费等，以及合同实施过程中的应预见和不可预见的一切费用。中标供应商不能因为开发票等手续再向采购人申请款项。</w:t>
      </w:r>
    </w:p>
    <w:p w14:paraId="01942A06">
      <w:pPr>
        <w:pStyle w:val="7"/>
        <w:rPr>
          <w:rFonts w:hint="eastAsia"/>
        </w:rPr>
      </w:pPr>
      <w:r>
        <w:rPr>
          <w:rFonts w:hint="eastAsia"/>
        </w:rPr>
        <w:t>供应商必须对所有内容进行投标，除中标供应商在投标文件中明确以外，中标供应商不得再以任何方式转包或分包本项目。</w:t>
      </w:r>
    </w:p>
    <w:p w14:paraId="49A12962">
      <w:pPr>
        <w:pStyle w:val="7"/>
        <w:rPr>
          <w:rFonts w:hint="eastAsia"/>
        </w:rPr>
      </w:pPr>
      <w:r>
        <w:rPr>
          <w:rFonts w:hint="eastAsia"/>
        </w:rPr>
        <w:t>最终供货食品及数量以采购人提前一天以电话、微信、电子邮件、书面采购单等形式通知的数量为准。采购人有权对供货清单作适当修改调整或对食品数量作适量增加或减少，实际送单一品种的量不超出采购人预计量的10%的浮动范围之内。以双方当场验货签字的数量、规格为准。</w:t>
      </w:r>
    </w:p>
    <w:p w14:paraId="27480CB4">
      <w:pPr>
        <w:pStyle w:val="7"/>
        <w:rPr>
          <w:rFonts w:hint="eastAsia"/>
        </w:rPr>
      </w:pPr>
      <w:r>
        <w:rPr>
          <w:rFonts w:hint="eastAsia"/>
        </w:rPr>
        <w:t>6. 临时配送服务</w:t>
      </w:r>
    </w:p>
    <w:p w14:paraId="45853717">
      <w:pPr>
        <w:pStyle w:val="7"/>
        <w:rPr>
          <w:rFonts w:hint="eastAsia"/>
        </w:rPr>
      </w:pPr>
      <w:r>
        <w:rPr>
          <w:rFonts w:hint="eastAsia"/>
        </w:rPr>
        <w:t>根据实际情况计划内和临时配送并存，特别在采购人临时有任务时，中标供应商应予以全力配合，能提供临时食材配送服务。</w:t>
      </w:r>
    </w:p>
    <w:p w14:paraId="602BF1B3">
      <w:pPr>
        <w:pStyle w:val="7"/>
        <w:rPr>
          <w:rFonts w:hint="eastAsia"/>
        </w:rPr>
      </w:pPr>
      <w:r>
        <w:rPr>
          <w:rFonts w:hint="eastAsia"/>
        </w:rPr>
        <w:t>7. 服务响应时间</w:t>
      </w:r>
    </w:p>
    <w:p w14:paraId="6BCF2FB3">
      <w:pPr>
        <w:pStyle w:val="7"/>
        <w:rPr>
          <w:rFonts w:hint="eastAsia"/>
        </w:rPr>
      </w:pPr>
      <w:r>
        <w:rPr>
          <w:rFonts w:hint="eastAsia"/>
        </w:rPr>
        <w:t>补货、退货、换货时间应在90分钟（含）内完成（不可抗力除外）。</w:t>
      </w:r>
    </w:p>
    <w:p w14:paraId="6EA21802">
      <w:pPr>
        <w:pStyle w:val="7"/>
        <w:rPr>
          <w:rFonts w:hint="eastAsia"/>
        </w:rPr>
      </w:pPr>
      <w:r>
        <w:rPr>
          <w:rFonts w:hint="eastAsia"/>
        </w:rPr>
        <w:t>8. 安全责任</w:t>
      </w:r>
      <w:r>
        <w:rPr>
          <w:rFonts w:hint="eastAsia"/>
          <w:lang w:eastAsia="zh-CN"/>
        </w:rPr>
        <w:t>：</w:t>
      </w:r>
      <w:r>
        <w:rPr>
          <w:rFonts w:hint="eastAsia"/>
        </w:rPr>
        <w:t>中标供应商应加强相应安全管理，在项目实施或服务过程中发生的重大人员、产品质量事故、食品事故等，或因中标企业管理不善等原因造成的人员伤亡等责任事故均由中标供应商承担，采购人不承担任何法律及经济责任。</w:t>
      </w:r>
    </w:p>
    <w:p w14:paraId="0A5BBE7C">
      <w:pPr>
        <w:pStyle w:val="7"/>
        <w:rPr>
          <w:rFonts w:hint="eastAsia"/>
        </w:rPr>
      </w:pPr>
      <w:r>
        <w:rPr>
          <w:rFonts w:hint="eastAsia"/>
        </w:rPr>
        <w:t>9. 食品安全保险</w:t>
      </w:r>
      <w:r>
        <w:rPr>
          <w:rFonts w:hint="eastAsia"/>
          <w:lang w:eastAsia="zh-CN"/>
        </w:rPr>
        <w:t>：</w:t>
      </w:r>
      <w:r>
        <w:rPr>
          <w:rFonts w:hint="eastAsia"/>
        </w:rPr>
        <w:t>食品安全责任风险由中标供应商负责，中标供应商需为采购人购买食品安全责任保险或公众责任保险，最高赔付金额应为1000万元人民币（含）以上，采购人为被保险人，保险有效期应包含本项目合同服务期。</w:t>
      </w:r>
    </w:p>
    <w:p w14:paraId="52EFA8BE">
      <w:pPr>
        <w:pStyle w:val="7"/>
        <w:rPr>
          <w:rFonts w:hint="eastAsia"/>
        </w:rPr>
      </w:pPr>
      <w:r>
        <w:rPr>
          <w:rFonts w:hint="eastAsia"/>
        </w:rPr>
        <w:t>10. 事故应急垫付</w:t>
      </w:r>
      <w:r>
        <w:rPr>
          <w:rFonts w:hint="eastAsia"/>
          <w:lang w:eastAsia="zh-CN"/>
        </w:rPr>
        <w:t>：</w:t>
      </w:r>
      <w:r>
        <w:rPr>
          <w:rFonts w:hint="eastAsia"/>
        </w:rPr>
        <w:t>在合同履行期限中若发生食品安全事故时，中标供应商应无条件先垫付医药费救护。</w:t>
      </w:r>
    </w:p>
    <w:p w14:paraId="7D1B5EAA">
      <w:pPr>
        <w:pStyle w:val="7"/>
        <w:rPr>
          <w:rFonts w:hint="eastAsia"/>
        </w:rPr>
      </w:pPr>
      <w:r>
        <w:rPr>
          <w:rFonts w:hint="eastAsia"/>
        </w:rPr>
        <w:t>11. 知识产权</w:t>
      </w:r>
      <w:r>
        <w:rPr>
          <w:rFonts w:hint="eastAsia"/>
          <w:lang w:eastAsia="zh-CN"/>
        </w:rPr>
        <w:t>：</w:t>
      </w:r>
      <w:r>
        <w:rPr>
          <w:rFonts w:hint="eastAsia"/>
        </w:rPr>
        <w:t>中标供应商应保证采购人在使用其产品或其任何一部分时不受第三方提出侵犯其专利权、商标权的起诉。如果任何第三方提出侵权指控或赔偿要求，中标供应商必须与第三方交涉，并承担发生和可能发生的一切损失、费用和法律责任。</w:t>
      </w:r>
    </w:p>
    <w:p w14:paraId="40959A4D">
      <w:pPr>
        <w:pStyle w:val="7"/>
        <w:rPr>
          <w:rFonts w:hint="eastAsia"/>
        </w:rPr>
      </w:pPr>
      <w:r>
        <w:rPr>
          <w:rFonts w:hint="eastAsia"/>
        </w:rPr>
        <w:t>12. 兼投规则</w:t>
      </w:r>
      <w:r>
        <w:rPr>
          <w:rFonts w:hint="eastAsia"/>
          <w:lang w:eastAsia="zh-CN"/>
        </w:rPr>
        <w:t>：</w:t>
      </w:r>
      <w:r>
        <w:rPr>
          <w:rFonts w:hint="eastAsia"/>
        </w:rPr>
        <w:t>本项目允许兼投，但不兼中。</w:t>
      </w:r>
    </w:p>
    <w:p w14:paraId="134951E3">
      <w:pPr>
        <w:pStyle w:val="7"/>
        <w:rPr>
          <w:rFonts w:hint="eastAsia"/>
        </w:rPr>
      </w:pPr>
      <w:r>
        <w:rPr>
          <w:rFonts w:hint="eastAsia"/>
        </w:rPr>
        <w:t>13. 其他未尽事宜，合同签订时约定。</w:t>
      </w:r>
    </w:p>
    <w:p w14:paraId="10B5EC9D">
      <w:pPr>
        <w:pStyle w:val="7"/>
        <w:rPr>
          <w:rFonts w:hint="eastAsia"/>
        </w:rPr>
      </w:pPr>
    </w:p>
    <w:p w14:paraId="2730CF59">
      <w:pPr>
        <w:pStyle w:val="7"/>
      </w:pPr>
    </w:p>
    <w:sectPr>
      <w:pgSz w:w="11906" w:h="16838"/>
      <w:pgMar w:top="1440" w:right="144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E8C4">
    <w:pPr>
      <w:spacing w:line="300" w:lineRule="exact"/>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21232">
                          <w:pPr>
                            <w:pStyle w:val="5"/>
                          </w:pPr>
                          <w:r>
                            <w:fldChar w:fldCharType="begin"/>
                          </w:r>
                          <w:r>
                            <w:instrText xml:space="preserve"> PAGE  \* MERGEFORMAT </w:instrText>
                          </w:r>
                          <w:r>
                            <w:fldChar w:fldCharType="separate"/>
                          </w:r>
                          <w:r>
                            <w:t>XXX</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921232">
                    <w:pPr>
                      <w:pStyle w:val="5"/>
                    </w:pPr>
                    <w:r>
                      <w:fldChar w:fldCharType="begin"/>
                    </w:r>
                    <w:r>
                      <w:instrText xml:space="preserve"> PAGE  \* MERGEFORMAT </w:instrText>
                    </w:r>
                    <w:r>
                      <w:fldChar w:fldCharType="separate"/>
                    </w:r>
                    <w:r>
                      <w:t>XXX</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CD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20429"/>
    <w:rsid w:val="0F783370"/>
    <w:rsid w:val="111451B1"/>
    <w:rsid w:val="225C2514"/>
    <w:rsid w:val="2C494BC7"/>
    <w:rsid w:val="33837901"/>
    <w:rsid w:val="3C217B6F"/>
    <w:rsid w:val="46D952B7"/>
    <w:rsid w:val="53915C12"/>
    <w:rsid w:val="54660E4D"/>
    <w:rsid w:val="71CF3736"/>
    <w:rsid w:val="7BD32074"/>
    <w:rsid w:val="7CE1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uiPriority w:val="0"/>
    <w:rPr>
      <w:sz w:val="24"/>
    </w:rPr>
  </w:style>
  <w:style w:type="paragraph" w:styleId="7">
    <w:name w:val="Body Text First Indent 2"/>
    <w:basedOn w:val="4"/>
    <w:qFormat/>
    <w:uiPriority w:val="0"/>
    <w:pPr>
      <w:ind w:firstLine="420" w:firstLineChars="200"/>
    </w:p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4584</Words>
  <Characters>4775</Characters>
  <Lines>0</Lines>
  <Paragraphs>0</Paragraphs>
  <TotalTime>3</TotalTime>
  <ScaleCrop>false</ScaleCrop>
  <LinksUpToDate>false</LinksUpToDate>
  <CharactersWithSpaces>4800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2026-06-17T13:18:00Z</dcterms:created>
  <dc:creator>12295</dc:creator>
  <cp:lastModifiedBy>凌辰</cp:lastModifiedBy>
  <dcterms:modified xsi:type="dcterms:W3CDTF">2026-06-22T09:00:55Z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eyJoZGlkIjoiOWYzMGQ2MzdjMzA4YjVlNmNiYzhkZTZlOWUyYzBkMGYiLCJ1c2VySWQiOiI1ODE4OTgzMzAifQ==</vt:lpwstr>
  </property>
  <property fmtid="{D5CDD505-2E9C-101B-9397-08002B2CF9AE}" pid="4" name="ICV">
    <vt:lpwstr>26CAF888DC3F40A58F3A78045C3237C8_12</vt:lpwstr>
  </property>
</Properties>
</file>